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1E" w:rsidRDefault="003E111E" w:rsidP="003E111E">
      <w:pPr>
        <w:pStyle w:val="H1sdm"/>
        <w:pageBreakBefore/>
        <w:rPr>
          <w:rStyle w:val="StyleLatinGeorgia10pt"/>
        </w:rPr>
      </w:pPr>
      <w:r>
        <w:t>Vessel Accounts</w:t>
      </w:r>
    </w:p>
    <w:p w:rsidR="003E111E" w:rsidRPr="00CA7625" w:rsidRDefault="003E111E" w:rsidP="003E111E">
      <w:pPr>
        <w:pStyle w:val="Heading1"/>
        <w:rPr>
          <w:rFonts w:ascii="Georgia" w:hAnsi="Georgia"/>
        </w:rPr>
      </w:pPr>
      <w:bookmarkStart w:id="0" w:name="_Toc276654405"/>
      <w:r w:rsidRPr="00CA7625">
        <w:rPr>
          <w:rFonts w:ascii="Georgia" w:hAnsi="Georgia"/>
        </w:rPr>
        <w:t>Use Case</w:t>
      </w:r>
      <w:r>
        <w:rPr>
          <w:rFonts w:ascii="Georgia" w:hAnsi="Georgia"/>
        </w:rPr>
        <w:t xml:space="preserve">: </w:t>
      </w:r>
      <w:r w:rsidRPr="009A2FB3">
        <w:t>Initiate Quota Pound Transfer</w:t>
      </w:r>
      <w:bookmarkEnd w:id="0"/>
    </w:p>
    <w:p w:rsidR="003E111E" w:rsidRDefault="00DF31D6" w:rsidP="003E111E">
      <w:pPr>
        <w:rPr>
          <w:rStyle w:val="StyleLatinGeorgia10ptBold"/>
        </w:rPr>
      </w:pPr>
      <w:r>
        <w:pict>
          <v:rect id="_x0000_i1025" style="width:6in;height:1.5pt" o:hralign="center" o:hrstd="t" o:hr="t" fillcolor="#a0a0a0" stroked="f"/>
        </w:pict>
      </w:r>
    </w:p>
    <w:p w:rsidR="003E111E" w:rsidRPr="00DC316D" w:rsidRDefault="003E111E" w:rsidP="003E111E">
      <w:pPr>
        <w:rPr>
          <w:rStyle w:val="StyleLatinGeorgia10pt"/>
        </w:rPr>
      </w:pPr>
      <w:r w:rsidRPr="00DC316D">
        <w:rPr>
          <w:rStyle w:val="StyleLatinGeorgia10ptBold"/>
        </w:rPr>
        <w:t>Scope</w:t>
      </w:r>
      <w:r w:rsidRPr="00DC316D">
        <w:rPr>
          <w:rStyle w:val="StyleLatinGeorgia10pt"/>
        </w:rPr>
        <w:t xml:space="preserve">: </w:t>
      </w:r>
      <w:r>
        <w:rPr>
          <w:rStyle w:val="StyleLatinGeorgia10pt"/>
        </w:rPr>
        <w:t>IFQ</w:t>
      </w:r>
      <w:r w:rsidRPr="00DC316D">
        <w:rPr>
          <w:rStyle w:val="StyleLatinGeorgia10pt"/>
        </w:rPr>
        <w:t xml:space="preserve"> Account Application</w:t>
      </w:r>
    </w:p>
    <w:p w:rsidR="003E111E" w:rsidRPr="00DC316D" w:rsidRDefault="003E111E" w:rsidP="003E111E">
      <w:pPr>
        <w:rPr>
          <w:rStyle w:val="StyleLatinGeorgia10pt"/>
        </w:rPr>
      </w:pPr>
      <w:r w:rsidRPr="00DC316D">
        <w:rPr>
          <w:rStyle w:val="StyleLatinGeorgia10ptBold"/>
        </w:rPr>
        <w:t>Level</w:t>
      </w:r>
      <w:r w:rsidRPr="00DC316D">
        <w:rPr>
          <w:rStyle w:val="StyleLatinGeorgia10pt"/>
        </w:rPr>
        <w:t>: Administrative</w:t>
      </w:r>
      <w:r w:rsidRPr="00DC316D">
        <w:rPr>
          <w:rStyle w:val="StyleLatinGeorgia10pt"/>
        </w:rPr>
        <w:tab/>
      </w:r>
      <w:r w:rsidRPr="00DC316D">
        <w:rPr>
          <w:rStyle w:val="StyleLatinGeorgia10pt"/>
        </w:rPr>
        <w:tab/>
      </w:r>
      <w:r w:rsidRPr="00DC316D">
        <w:rPr>
          <w:rStyle w:val="StyleLatinGeorgia10pt"/>
        </w:rPr>
        <w:tab/>
      </w:r>
      <w:r w:rsidRPr="00DC316D">
        <w:rPr>
          <w:rStyle w:val="StyleLatinGeorgia10ptBold"/>
        </w:rPr>
        <w:t>Primary Actor</w:t>
      </w:r>
      <w:r w:rsidRPr="00DC316D">
        <w:rPr>
          <w:rStyle w:val="StyleLatinGeorgia10pt"/>
        </w:rPr>
        <w:t>: Vessel Account Transfer Manager</w:t>
      </w:r>
    </w:p>
    <w:p w:rsidR="003E111E" w:rsidRPr="00DC316D" w:rsidRDefault="003E111E" w:rsidP="003E111E">
      <w:pPr>
        <w:rPr>
          <w:rStyle w:val="StyleLatinGeorgia10ptBold"/>
        </w:rPr>
      </w:pPr>
      <w:r w:rsidRPr="00DC316D">
        <w:rPr>
          <w:rStyle w:val="StyleLatinGeorgia10ptBold"/>
        </w:rPr>
        <w:t>Use Case Phase</w:t>
      </w:r>
      <w:r w:rsidRPr="00DC316D">
        <w:rPr>
          <w:rStyle w:val="StyleLatinGeorgia10pt"/>
        </w:rPr>
        <w:t>: Requirements</w:t>
      </w:r>
      <w:r w:rsidRPr="00DC316D">
        <w:rPr>
          <w:rStyle w:val="StyleLatinGeorgia10pt"/>
        </w:rPr>
        <w:tab/>
      </w:r>
      <w:r w:rsidRPr="00DC316D">
        <w:rPr>
          <w:rStyle w:val="StyleLatinGeorgia10pt"/>
        </w:rPr>
        <w:tab/>
      </w:r>
      <w:r w:rsidRPr="00DC316D">
        <w:rPr>
          <w:rStyle w:val="StyleLatinGeorgia10ptBold"/>
        </w:rPr>
        <w:t xml:space="preserve">Updated: </w:t>
      </w:r>
      <w:r>
        <w:rPr>
          <w:rStyle w:val="StyleLatinGeorgia10pt"/>
        </w:rPr>
        <w:t>10</w:t>
      </w:r>
      <w:r w:rsidRPr="00DC316D">
        <w:rPr>
          <w:rStyle w:val="StyleLatinGeorgia10pt"/>
        </w:rPr>
        <w:t>/</w:t>
      </w:r>
      <w:r>
        <w:rPr>
          <w:rStyle w:val="StyleLatinGeorgia10pt"/>
        </w:rPr>
        <w:t>2</w:t>
      </w:r>
      <w:r w:rsidRPr="00DC316D">
        <w:rPr>
          <w:rStyle w:val="StyleLatinGeorgia10pt"/>
        </w:rPr>
        <w:t>7/2010</w:t>
      </w:r>
    </w:p>
    <w:p w:rsidR="003E111E" w:rsidRDefault="003E111E" w:rsidP="003E111E">
      <w:pPr>
        <w:rPr>
          <w:rFonts w:ascii="Georgia" w:hAnsi="Georgia"/>
        </w:rPr>
      </w:pPr>
    </w:p>
    <w:p w:rsidR="003E111E" w:rsidRDefault="003E111E" w:rsidP="003E111E">
      <w:r>
        <w:rPr>
          <w:rStyle w:val="StyleLatinGeorgia10ptBold"/>
        </w:rPr>
        <w:t>Pre-conditions</w:t>
      </w:r>
      <w:r w:rsidRPr="00DC316D">
        <w:rPr>
          <w:rStyle w:val="StyleLatinGeorgia10pt"/>
        </w:rPr>
        <w:t>:</w:t>
      </w:r>
      <w:r>
        <w:rPr>
          <w:rFonts w:ascii="Georgia" w:hAnsi="Georgia"/>
        </w:rPr>
        <w:t xml:space="preserve"> </w:t>
      </w:r>
      <w:r>
        <w:t>User with QS Transaction M</w:t>
      </w:r>
      <w:r w:rsidRPr="00F6220C">
        <w:t>an</w:t>
      </w:r>
      <w:r>
        <w:t>a</w:t>
      </w:r>
      <w:r w:rsidRPr="00F6220C">
        <w:t xml:space="preserve">ger role </w:t>
      </w:r>
      <w:r>
        <w:t>has logged o</w:t>
      </w:r>
      <w:r w:rsidRPr="00F6220C">
        <w:t>n</w:t>
      </w:r>
      <w:r>
        <w:t>,</w:t>
      </w:r>
      <w:r w:rsidRPr="00F6220C">
        <w:t xml:space="preserve"> and their acco</w:t>
      </w:r>
      <w:r>
        <w:t xml:space="preserve">unt has available QPs and is in a status that can allow transfers. </w:t>
      </w:r>
      <w:r w:rsidRPr="00F6220C">
        <w:t xml:space="preserve">The </w:t>
      </w:r>
      <w:r>
        <w:t>QS Transaction M</w:t>
      </w:r>
      <w:r w:rsidRPr="00F6220C">
        <w:t>an</w:t>
      </w:r>
      <w:r>
        <w:t>a</w:t>
      </w:r>
      <w:r w:rsidRPr="00F6220C">
        <w:t>ger is able to select any species for which they have</w:t>
      </w:r>
      <w:r>
        <w:t xml:space="preserve"> unused</w:t>
      </w:r>
      <w:r w:rsidRPr="00F6220C">
        <w:t xml:space="preserve"> </w:t>
      </w:r>
      <w:r>
        <w:t>QP,</w:t>
      </w:r>
      <w:r w:rsidRPr="00F6220C">
        <w:t xml:space="preserve"> and may allocate up to the amount of pounds available in their account for a particular species.</w:t>
      </w:r>
      <w:r w:rsidRPr="00707B61">
        <w:t xml:space="preserve"> </w:t>
      </w:r>
      <w:r w:rsidRPr="00F6220C">
        <w:t>The user must pick at least one species and associate at least one pound for the transaction to be initiated</w:t>
      </w:r>
      <w:r>
        <w:t>; the system will only deal in round numbered pounds as well</w:t>
      </w:r>
      <w:r w:rsidRPr="00F6220C">
        <w:t>.</w:t>
      </w:r>
      <w:r w:rsidRPr="00707B61">
        <w:t xml:space="preserve"> </w:t>
      </w:r>
      <w:r w:rsidRPr="00F6220C">
        <w:t xml:space="preserve">The </w:t>
      </w:r>
      <w:r>
        <w:t>Transaction M</w:t>
      </w:r>
      <w:r w:rsidRPr="00F6220C">
        <w:t xml:space="preserve">anager must provide the total cost of the transfer either by entering the cost by species or by entering the </w:t>
      </w:r>
      <w:r>
        <w:t xml:space="preserve">total </w:t>
      </w:r>
      <w:r w:rsidRPr="00F6220C">
        <w:t>cost.</w:t>
      </w:r>
      <w:r w:rsidRPr="00707B61">
        <w:t xml:space="preserve"> </w:t>
      </w:r>
      <w:r w:rsidRPr="00F6220C">
        <w:t>By default</w:t>
      </w:r>
      <w:r>
        <w:t>,</w:t>
      </w:r>
      <w:r w:rsidRPr="00F6220C">
        <w:t xml:space="preserve"> the transfer will have an “expiration date” of </w:t>
      </w:r>
      <w:r>
        <w:t>14 days</w:t>
      </w:r>
      <w:r w:rsidRPr="00F6220C">
        <w:t xml:space="preserve">, but the transaction manager has the option to set the expiration date </w:t>
      </w:r>
      <w:r>
        <w:t>for less than 14 days</w:t>
      </w:r>
      <w:r w:rsidRPr="00F6220C">
        <w:t>.</w:t>
      </w:r>
      <w:r>
        <w:t xml:space="preserve"> In order to be eligible to receive QPs, a Vessel account must be in a status that allows transfers and the transfer cannot cause their account to exceed the daily unused limit and the annual allowable limit based on existing unused QP and pending outgoing transfers.</w:t>
      </w:r>
    </w:p>
    <w:p w:rsidR="003E111E" w:rsidRPr="00543545" w:rsidRDefault="003E111E" w:rsidP="003E111E">
      <w:pPr>
        <w:rPr>
          <w:rStyle w:val="bold"/>
        </w:rPr>
      </w:pPr>
      <w:r w:rsidRPr="00543545">
        <w:rPr>
          <w:rStyle w:val="bold"/>
        </w:rPr>
        <w:t>Daily Unused Limit</w:t>
      </w:r>
      <w:r>
        <w:rPr>
          <w:rStyle w:val="bold"/>
        </w:rPr>
        <w:t xml:space="preserve"> (per species) </w:t>
      </w:r>
      <w:r w:rsidRPr="00543545">
        <w:rPr>
          <w:rStyle w:val="bold"/>
        </w:rPr>
        <w:t xml:space="preserve">&gt; or = </w:t>
      </w:r>
      <w:r w:rsidRPr="00B90E65">
        <w:rPr>
          <w:rStyle w:val="bold"/>
        </w:rPr>
        <w:t>vessel account</w:t>
      </w:r>
      <w:r>
        <w:rPr>
          <w:rStyle w:val="bold"/>
        </w:rPr>
        <w:t xml:space="preserve"> unused + </w:t>
      </w:r>
      <w:r w:rsidRPr="00B90E65">
        <w:rPr>
          <w:rStyle w:val="bold"/>
        </w:rPr>
        <w:t>vessel account</w:t>
      </w:r>
      <w:r>
        <w:rPr>
          <w:rStyle w:val="bold"/>
        </w:rPr>
        <w:t xml:space="preserve"> pending o</w:t>
      </w:r>
      <w:r w:rsidRPr="00543545">
        <w:rPr>
          <w:rStyle w:val="bold"/>
        </w:rPr>
        <w:t>utgoing</w:t>
      </w:r>
    </w:p>
    <w:p w:rsidR="003E111E" w:rsidRDefault="003E111E" w:rsidP="003E111E">
      <w:pPr>
        <w:rPr>
          <w:rStyle w:val="bold"/>
        </w:rPr>
      </w:pPr>
      <w:r w:rsidRPr="00543545">
        <w:rPr>
          <w:rStyle w:val="bold"/>
        </w:rPr>
        <w:t>Annual Allowable Limit</w:t>
      </w:r>
      <w:r>
        <w:rPr>
          <w:rStyle w:val="bold"/>
        </w:rPr>
        <w:t xml:space="preserve"> (per species) </w:t>
      </w:r>
      <w:r w:rsidRPr="00543545">
        <w:rPr>
          <w:rStyle w:val="bold"/>
        </w:rPr>
        <w:t xml:space="preserve">&gt; or = </w:t>
      </w:r>
      <w:r w:rsidRPr="00B90E65">
        <w:rPr>
          <w:rStyle w:val="bold"/>
        </w:rPr>
        <w:t>vessel account</w:t>
      </w:r>
      <w:r>
        <w:rPr>
          <w:rStyle w:val="bold"/>
        </w:rPr>
        <w:t xml:space="preserve"> unused + </w:t>
      </w:r>
      <w:r w:rsidRPr="00B90E65">
        <w:rPr>
          <w:rStyle w:val="bold"/>
        </w:rPr>
        <w:t>vessel account</w:t>
      </w:r>
      <w:r>
        <w:rPr>
          <w:rStyle w:val="bold"/>
        </w:rPr>
        <w:t xml:space="preserve"> used + </w:t>
      </w:r>
      <w:r w:rsidRPr="00B90E65">
        <w:rPr>
          <w:rStyle w:val="bold"/>
        </w:rPr>
        <w:t>vessel account</w:t>
      </w:r>
      <w:r>
        <w:rPr>
          <w:rStyle w:val="bold"/>
        </w:rPr>
        <w:t xml:space="preserve"> pending o</w:t>
      </w:r>
      <w:r w:rsidRPr="00543545">
        <w:rPr>
          <w:rStyle w:val="bold"/>
        </w:rPr>
        <w:t>utgoing</w:t>
      </w:r>
    </w:p>
    <w:p w:rsidR="003E111E" w:rsidRDefault="003E111E" w:rsidP="003E111E">
      <w:pPr>
        <w:rPr>
          <w:rFonts w:ascii="Georgia" w:hAnsi="Georgia"/>
        </w:rPr>
      </w:pPr>
      <w:r w:rsidRPr="00543545">
        <w:rPr>
          <w:rStyle w:val="bold"/>
        </w:rPr>
        <w:t>Annual Allowable Limit</w:t>
      </w:r>
      <w:r>
        <w:rPr>
          <w:rStyle w:val="bold"/>
        </w:rPr>
        <w:t xml:space="preserve"> for non-whiting Groundfish Species (total of all Groundfish species excluding Pacific whiting and Pacific halibut) </w:t>
      </w:r>
      <w:r w:rsidRPr="00543545">
        <w:rPr>
          <w:rStyle w:val="bold"/>
        </w:rPr>
        <w:t>&gt; or =</w:t>
      </w:r>
      <w:r>
        <w:rPr>
          <w:rStyle w:val="bold"/>
        </w:rPr>
        <w:t>sum of the non-whiting Species unu</w:t>
      </w:r>
      <w:r w:rsidRPr="00543545">
        <w:rPr>
          <w:rStyle w:val="bold"/>
        </w:rPr>
        <w:t xml:space="preserve">sed </w:t>
      </w:r>
      <w:proofErr w:type="gramStart"/>
      <w:r w:rsidRPr="00543545">
        <w:rPr>
          <w:rStyle w:val="bold"/>
        </w:rPr>
        <w:t xml:space="preserve">+ </w:t>
      </w:r>
      <w:r>
        <w:rPr>
          <w:rStyle w:val="bold"/>
        </w:rPr>
        <w:t xml:space="preserve"> sum</w:t>
      </w:r>
      <w:proofErr w:type="gramEnd"/>
      <w:r>
        <w:rPr>
          <w:rStyle w:val="bold"/>
        </w:rPr>
        <w:t xml:space="preserve"> of the non-whiting Species</w:t>
      </w:r>
      <w:r w:rsidRPr="00543545">
        <w:rPr>
          <w:rStyle w:val="bold"/>
        </w:rPr>
        <w:t xml:space="preserve"> used + </w:t>
      </w:r>
      <w:r>
        <w:rPr>
          <w:rStyle w:val="bold"/>
        </w:rPr>
        <w:t>sum of the non-whiting Species</w:t>
      </w:r>
      <w:r w:rsidRPr="00543545">
        <w:rPr>
          <w:rStyle w:val="bold"/>
        </w:rPr>
        <w:t xml:space="preserve"> </w:t>
      </w:r>
      <w:r>
        <w:rPr>
          <w:rStyle w:val="bold"/>
        </w:rPr>
        <w:t>p</w:t>
      </w:r>
      <w:r w:rsidRPr="00543545">
        <w:rPr>
          <w:rStyle w:val="bold"/>
        </w:rPr>
        <w:t xml:space="preserve">ending </w:t>
      </w:r>
      <w:r>
        <w:rPr>
          <w:rStyle w:val="bold"/>
        </w:rPr>
        <w:t>o</w:t>
      </w:r>
      <w:r w:rsidRPr="00543545">
        <w:rPr>
          <w:rStyle w:val="bold"/>
        </w:rPr>
        <w:t>utgoing</w:t>
      </w:r>
    </w:p>
    <w:p w:rsidR="003E111E" w:rsidRPr="00DC316D" w:rsidRDefault="003E111E" w:rsidP="003E111E">
      <w:pPr>
        <w:rPr>
          <w:rStyle w:val="StyleLatinGeorgia10pt"/>
        </w:rPr>
      </w:pPr>
      <w:r>
        <w:rPr>
          <w:rStyle w:val="StyleLatinGeorgia10ptBold"/>
        </w:rPr>
        <w:t>Post-conditions</w:t>
      </w:r>
      <w:r w:rsidRPr="00DC316D">
        <w:rPr>
          <w:rStyle w:val="StyleLatinGeorgia10pt"/>
        </w:rPr>
        <w:t xml:space="preserve">: </w:t>
      </w:r>
      <w:r>
        <w:t>System validates that the transfer does not surpass daily unused limit and the annual allowable limit for each species involved.</w:t>
      </w:r>
      <w:r w:rsidRPr="00707B61">
        <w:t xml:space="preserve"> </w:t>
      </w:r>
      <w:r>
        <w:t>System generates confirmation id and messages for notifying both parties that they have a “pending” transfer on their account.</w:t>
      </w:r>
      <w:r w:rsidRPr="00707B61">
        <w:t xml:space="preserve"> </w:t>
      </w:r>
      <w:r>
        <w:t xml:space="preserve">The QPs are debited from the initiating </w:t>
      </w:r>
      <w:r w:rsidRPr="00B90E65">
        <w:t>vessel account</w:t>
      </w:r>
      <w:r>
        <w:t xml:space="preserve"> and placed in a pending status until the transfer is </w:t>
      </w:r>
      <w:proofErr w:type="gramStart"/>
      <w:r>
        <w:t>rejected/accepted</w:t>
      </w:r>
      <w:proofErr w:type="gramEnd"/>
      <w:r>
        <w:t xml:space="preserve"> by the receiving account, retracted by the initiating </w:t>
      </w:r>
      <w:r w:rsidRPr="00B90E65">
        <w:t>vessel account</w:t>
      </w:r>
      <w:r>
        <w:t>, or the deadline is reached.</w:t>
      </w:r>
      <w:r w:rsidRPr="00707B61">
        <w:t xml:space="preserve"> </w:t>
      </w:r>
      <w:r>
        <w:t>The QPs involved in the “pending” transfer will be included in subsequent transfers to the receiving vessel account, to ensure that pending transfers will not exceed the account’s daily unused limit and the annual allowable limit.</w:t>
      </w:r>
    </w:p>
    <w:p w:rsidR="003E111E" w:rsidRPr="00DC316D" w:rsidRDefault="003E111E" w:rsidP="003E111E">
      <w:pPr>
        <w:rPr>
          <w:rStyle w:val="StyleLatinGeorgia10pt"/>
        </w:rPr>
      </w:pPr>
      <w:r w:rsidRPr="00DC316D">
        <w:rPr>
          <w:rStyle w:val="StyleLatinGeorgia10ptBold"/>
        </w:rPr>
        <w:t>Basic Flow</w:t>
      </w:r>
      <w:r w:rsidRPr="00DC316D">
        <w:rPr>
          <w:rStyle w:val="StyleLatinGeorgia10pt"/>
        </w:rPr>
        <w:t xml:space="preserve">: </w:t>
      </w:r>
      <w:r>
        <w:t>Vessel Account Transaction Manager defines QP by species to be transferred to another vessel account.</w:t>
      </w:r>
      <w:r w:rsidRPr="00707B61">
        <w:t xml:space="preserve"> </w:t>
      </w:r>
      <w:r>
        <w:t>The system only allows the Vessel Account Transaction Manager to transfer existing QPs.</w:t>
      </w:r>
      <w:r w:rsidRPr="00707B61">
        <w:t xml:space="preserve"> </w:t>
      </w:r>
      <w:r>
        <w:lastRenderedPageBreak/>
        <w:t xml:space="preserve">Any QP allocated in a “pending” transfer </w:t>
      </w:r>
      <w:proofErr w:type="gramStart"/>
      <w:r>
        <w:t>are</w:t>
      </w:r>
      <w:proofErr w:type="gramEnd"/>
      <w:r>
        <w:t xml:space="preserve"> not available to be reallocated to a new transfer or debited due to a landing.</w:t>
      </w:r>
      <w:r w:rsidRPr="00707B61">
        <w:t xml:space="preserve"> </w:t>
      </w:r>
      <w:r>
        <w:t>The total cost of the transfer must be included.</w:t>
      </w:r>
      <w:r w:rsidRPr="00707B61">
        <w:t xml:space="preserve"> </w:t>
      </w:r>
      <w:r>
        <w:t>The system provides two options for determining the cost:</w:t>
      </w:r>
    </w:p>
    <w:p w:rsidR="003E111E" w:rsidRDefault="003E111E" w:rsidP="003E111E">
      <w:pPr>
        <w:numPr>
          <w:ilvl w:val="0"/>
          <w:numId w:val="1"/>
        </w:numPr>
      </w:pPr>
      <w:r>
        <w:t>The Vessel Account Transaction Manager can enter the cost information for each species in the transfer, and the system will calculate the total price based on pounds for each species, or</w:t>
      </w:r>
    </w:p>
    <w:p w:rsidR="003E111E" w:rsidRDefault="003E111E" w:rsidP="003E111E">
      <w:pPr>
        <w:numPr>
          <w:ilvl w:val="0"/>
          <w:numId w:val="1"/>
        </w:numPr>
      </w:pPr>
      <w:r>
        <w:t>The Vessel Account Transaction Manager can enter the total cost for the transfer.</w:t>
      </w:r>
      <w:r w:rsidRPr="00707B61">
        <w:t xml:space="preserve"> </w:t>
      </w:r>
      <w:r>
        <w:t xml:space="preserve">If the total cost is entered as $0, the transaction manager must provide a description of the trade (barter/ </w:t>
      </w:r>
      <w:proofErr w:type="spellStart"/>
      <w:r>
        <w:t>self trade</w:t>
      </w:r>
      <w:proofErr w:type="spellEnd"/>
      <w:r>
        <w:t>/other, which allows them to enter a description).</w:t>
      </w:r>
    </w:p>
    <w:p w:rsidR="003E111E" w:rsidRDefault="003E111E" w:rsidP="003E111E">
      <w:r>
        <w:t>Once the QPs have been defined, the IFQ system will present the Vessel Account Transaction Manager with a list of vessel accounts that are eligible to receive the transfer.</w:t>
      </w:r>
      <w:r w:rsidRPr="00707B61">
        <w:t xml:space="preserve"> </w:t>
      </w:r>
      <w:r>
        <w:t>A vessel account is eligible to receive a transfer if QPs for all species does not exceed the daily unused limit, the annual allowable limit, and the vessel account is in a status that allows transfers.</w:t>
      </w:r>
      <w:r w:rsidRPr="00707B61">
        <w:t xml:space="preserve"> </w:t>
      </w:r>
      <w:r>
        <w:t xml:space="preserve">Once the initiating </w:t>
      </w:r>
      <w:r w:rsidRPr="00B90E65">
        <w:t>vessel account</w:t>
      </w:r>
      <w:r>
        <w:t xml:space="preserve"> submits the proposed transaction, the QPs are debited from their account and will remain in a “pending” state until the transfer is </w:t>
      </w:r>
      <w:proofErr w:type="gramStart"/>
      <w:r>
        <w:t>rejected/accepted</w:t>
      </w:r>
      <w:proofErr w:type="gramEnd"/>
      <w:r>
        <w:t xml:space="preserve"> by the receiving account, retracted by the initiating </w:t>
      </w:r>
      <w:r w:rsidRPr="00B90E65">
        <w:t>vessel account</w:t>
      </w:r>
      <w:r>
        <w:t>, or the deadline is reached.</w:t>
      </w:r>
    </w:p>
    <w:p w:rsidR="003E111E" w:rsidRDefault="003E111E" w:rsidP="003E111E">
      <w:pPr>
        <w:numPr>
          <w:ilvl w:val="0"/>
          <w:numId w:val="2"/>
        </w:numPr>
      </w:pPr>
      <w:r>
        <w:t xml:space="preserve">Vessel Account Transaction Manager </w:t>
      </w:r>
      <w:proofErr w:type="gramStart"/>
      <w:r w:rsidRPr="001B7A96">
        <w:t>logs</w:t>
      </w:r>
      <w:proofErr w:type="gramEnd"/>
      <w:r w:rsidRPr="001B7A96">
        <w:t xml:space="preserve"> on to </w:t>
      </w:r>
      <w:r>
        <w:t>the vessel</w:t>
      </w:r>
      <w:r w:rsidRPr="001B7A96">
        <w:t xml:space="preserve"> account.</w:t>
      </w:r>
    </w:p>
    <w:p w:rsidR="003E111E" w:rsidRPr="001B7A96" w:rsidRDefault="003E111E" w:rsidP="003E111E">
      <w:pPr>
        <w:numPr>
          <w:ilvl w:val="0"/>
          <w:numId w:val="2"/>
        </w:numPr>
      </w:pPr>
      <w:r>
        <w:t xml:space="preserve">Vessel Account Transaction Manager </w:t>
      </w:r>
      <w:r w:rsidRPr="001B7A96">
        <w:t>is provided with a list of all available QPs by species.</w:t>
      </w:r>
      <w:r w:rsidRPr="00707B61">
        <w:t xml:space="preserve"> </w:t>
      </w:r>
      <w:r w:rsidRPr="001B7A96">
        <w:t>The system will only allow the QPs that are currently available in the QS account to be added to the transfer.</w:t>
      </w:r>
      <w:r w:rsidRPr="00707B61">
        <w:t xml:space="preserve"> </w:t>
      </w:r>
      <w:r w:rsidRPr="001B7A96">
        <w:t>Any QPs that are included in a “pending” transfer are not available to be reallocated to a new transfer.</w:t>
      </w:r>
    </w:p>
    <w:p w:rsidR="003E111E" w:rsidRPr="001B7A96" w:rsidRDefault="003E111E" w:rsidP="003E111E">
      <w:pPr>
        <w:numPr>
          <w:ilvl w:val="0"/>
          <w:numId w:val="2"/>
        </w:numPr>
      </w:pPr>
      <w:r>
        <w:t xml:space="preserve">Vessel Account Transaction Manager </w:t>
      </w:r>
      <w:r w:rsidRPr="001B7A96">
        <w:t>must select at least one species, but are able to select any species for which they have available QPs.</w:t>
      </w:r>
    </w:p>
    <w:p w:rsidR="003E111E" w:rsidRPr="001B7A96" w:rsidRDefault="003E111E" w:rsidP="003E111E">
      <w:pPr>
        <w:numPr>
          <w:ilvl w:val="0"/>
          <w:numId w:val="2"/>
        </w:numPr>
      </w:pPr>
      <w:r>
        <w:t xml:space="preserve">Vessel Account Transaction Manager </w:t>
      </w:r>
      <w:r w:rsidRPr="001B7A96">
        <w:t>provides the total cost of the transfer by either:</w:t>
      </w:r>
    </w:p>
    <w:p w:rsidR="003E111E" w:rsidRDefault="003E111E" w:rsidP="003E111E">
      <w:pPr>
        <w:numPr>
          <w:ilvl w:val="0"/>
          <w:numId w:val="3"/>
        </w:numPr>
      </w:pPr>
      <w:r w:rsidRPr="001B7A96">
        <w:t>Entering the total cost for the transfer.</w:t>
      </w:r>
      <w:r w:rsidRPr="00707B61">
        <w:t xml:space="preserve"> </w:t>
      </w:r>
      <w:r w:rsidRPr="001B7A96">
        <w:t>If total cost is enter as $0</w:t>
      </w:r>
      <w:r>
        <w:t>,</w:t>
      </w:r>
      <w:r w:rsidRPr="001B7A96">
        <w:t xml:space="preserve"> they must provide a reason:</w:t>
      </w:r>
    </w:p>
    <w:p w:rsidR="003E111E" w:rsidRDefault="003E111E" w:rsidP="003E111E">
      <w:pPr>
        <w:numPr>
          <w:ilvl w:val="1"/>
          <w:numId w:val="3"/>
        </w:numPr>
      </w:pPr>
      <w:r>
        <w:t>Barter: Pre-</w:t>
      </w:r>
      <w:r w:rsidRPr="001B7A96">
        <w:t>arranged agreement with vessel owner</w:t>
      </w:r>
    </w:p>
    <w:p w:rsidR="003E111E" w:rsidRDefault="003E111E" w:rsidP="003E111E">
      <w:pPr>
        <w:numPr>
          <w:ilvl w:val="1"/>
          <w:numId w:val="3"/>
        </w:numPr>
      </w:pPr>
      <w:proofErr w:type="spellStart"/>
      <w:r>
        <w:t>Self Trade</w:t>
      </w:r>
      <w:proofErr w:type="spellEnd"/>
      <w:r>
        <w:t>: T</w:t>
      </w:r>
      <w:r w:rsidRPr="001B7A96">
        <w:t>ransfer to their own vessel</w:t>
      </w:r>
    </w:p>
    <w:p w:rsidR="003E111E" w:rsidRPr="001B7A96" w:rsidRDefault="003E111E" w:rsidP="003E111E">
      <w:pPr>
        <w:numPr>
          <w:ilvl w:val="1"/>
          <w:numId w:val="3"/>
        </w:numPr>
      </w:pPr>
      <w:r w:rsidRPr="001B7A96">
        <w:t>Ot</w:t>
      </w:r>
      <w:r>
        <w:t>her: T</w:t>
      </w:r>
      <w:r w:rsidRPr="001B7A96">
        <w:t>hey provide description</w:t>
      </w:r>
    </w:p>
    <w:p w:rsidR="003E111E" w:rsidRDefault="003E111E" w:rsidP="003E111E">
      <w:pPr>
        <w:numPr>
          <w:ilvl w:val="0"/>
          <w:numId w:val="3"/>
        </w:numPr>
      </w:pPr>
      <w:r w:rsidRPr="001B7A96">
        <w:t>Or entering the price for each species and the system will calculate the total cost by multiplying the cost and QPs for each species and summing the results.</w:t>
      </w:r>
    </w:p>
    <w:p w:rsidR="003E111E" w:rsidRDefault="003E111E" w:rsidP="003E111E">
      <w:pPr>
        <w:numPr>
          <w:ilvl w:val="0"/>
          <w:numId w:val="2"/>
        </w:numPr>
      </w:pPr>
      <w:r>
        <w:t>Vessel Account Manager</w:t>
      </w:r>
      <w:r w:rsidRPr="001B7A96">
        <w:t xml:space="preserve"> is presented with a list </w:t>
      </w:r>
      <w:r>
        <w:t>of all vessel accounts (</w:t>
      </w:r>
      <w:r w:rsidRPr="001B7A96">
        <w:t>searchable by vessel name and vessel owner</w:t>
      </w:r>
      <w:r>
        <w:t xml:space="preserve">) that are eligible to receive the transfer. </w:t>
      </w:r>
      <w:r w:rsidRPr="001B7A96">
        <w:t xml:space="preserve">A </w:t>
      </w:r>
      <w:r w:rsidRPr="00B90E65">
        <w:t>vessel account</w:t>
      </w:r>
      <w:r w:rsidRPr="001B7A96">
        <w:t xml:space="preserve"> is eligible to receive the transfer if:</w:t>
      </w:r>
    </w:p>
    <w:p w:rsidR="003E111E" w:rsidRDefault="003E111E" w:rsidP="003E111E">
      <w:pPr>
        <w:numPr>
          <w:ilvl w:val="1"/>
          <w:numId w:val="2"/>
        </w:numPr>
      </w:pPr>
      <w:r w:rsidRPr="001B7A96">
        <w:t xml:space="preserve">The </w:t>
      </w:r>
      <w:r>
        <w:t>vessel account</w:t>
      </w:r>
      <w:r w:rsidRPr="001B7A96">
        <w:t xml:space="preserve"> is </w:t>
      </w:r>
      <w:r>
        <w:t>in a status that allows transfers.</w:t>
      </w:r>
    </w:p>
    <w:p w:rsidR="003E111E" w:rsidRDefault="003E111E" w:rsidP="003E111E">
      <w:pPr>
        <w:numPr>
          <w:ilvl w:val="1"/>
          <w:numId w:val="2"/>
        </w:numPr>
      </w:pPr>
      <w:r>
        <w:lastRenderedPageBreak/>
        <w:t>The transfer will not cause the account to exceed the</w:t>
      </w:r>
      <w:r w:rsidRPr="004A075D">
        <w:t xml:space="preserve"> </w:t>
      </w:r>
      <w:r>
        <w:t>daily unused limit and the annual allowable limit.</w:t>
      </w:r>
    </w:p>
    <w:p w:rsidR="003E111E" w:rsidRDefault="003E111E" w:rsidP="003E111E">
      <w:pPr>
        <w:numPr>
          <w:ilvl w:val="0"/>
          <w:numId w:val="2"/>
        </w:numPr>
      </w:pPr>
      <w:r w:rsidRPr="001B7A96">
        <w:t xml:space="preserve">When the </w:t>
      </w:r>
      <w:r>
        <w:t xml:space="preserve">Vessel Account Transaction Manager </w:t>
      </w:r>
      <w:r w:rsidRPr="001B7A96">
        <w:t>submits the transfer, the system verifies the proposed transfer.</w:t>
      </w:r>
    </w:p>
    <w:p w:rsidR="003E111E" w:rsidRPr="001B7A96" w:rsidRDefault="003E111E" w:rsidP="003E111E">
      <w:pPr>
        <w:numPr>
          <w:ilvl w:val="0"/>
          <w:numId w:val="5"/>
        </w:numPr>
      </w:pPr>
      <w:r w:rsidRPr="001B7A96">
        <w:t xml:space="preserve">QP for all species does not exceed the </w:t>
      </w:r>
      <w:r>
        <w:t>daily unused limit and the annual allowable limit.</w:t>
      </w:r>
      <w:r w:rsidRPr="001B7A96">
        <w:t xml:space="preserve"> </w:t>
      </w:r>
    </w:p>
    <w:p w:rsidR="003E111E" w:rsidRDefault="003E111E" w:rsidP="003E111E">
      <w:pPr>
        <w:numPr>
          <w:ilvl w:val="0"/>
          <w:numId w:val="2"/>
        </w:numPr>
      </w:pPr>
      <w:r w:rsidRPr="001B7A96">
        <w:t xml:space="preserve">QPs are obligated within the initiating </w:t>
      </w:r>
      <w:r w:rsidRPr="00B90E65">
        <w:t>vessel account</w:t>
      </w:r>
      <w:r>
        <w:t xml:space="preserve"> </w:t>
      </w:r>
      <w:r w:rsidRPr="001B7A96">
        <w:t>and put in a “pending” state.</w:t>
      </w:r>
      <w:r w:rsidRPr="00707B61">
        <w:t xml:space="preserve"> </w:t>
      </w:r>
      <w:r w:rsidRPr="001B7A96">
        <w:t>Pending QPs are not available to be included in subsequent transfers.</w:t>
      </w:r>
    </w:p>
    <w:p w:rsidR="003E111E" w:rsidRPr="001B7A96" w:rsidRDefault="003E111E" w:rsidP="003E111E">
      <w:pPr>
        <w:numPr>
          <w:ilvl w:val="0"/>
          <w:numId w:val="2"/>
        </w:numPr>
      </w:pPr>
      <w:r w:rsidRPr="001B7A96">
        <w:t>System generates a unique transaction ID.</w:t>
      </w:r>
    </w:p>
    <w:p w:rsidR="003E111E" w:rsidRDefault="003E111E" w:rsidP="003E111E">
      <w:pPr>
        <w:numPr>
          <w:ilvl w:val="0"/>
          <w:numId w:val="2"/>
        </w:numPr>
      </w:pPr>
      <w:r>
        <w:t>System presents a verification window to the Vessel Account Transaction Manager that includes the transaction ID and details of QPs by species.</w:t>
      </w:r>
    </w:p>
    <w:p w:rsidR="003E111E" w:rsidRDefault="003E111E" w:rsidP="003E111E">
      <w:pPr>
        <w:numPr>
          <w:ilvl w:val="0"/>
          <w:numId w:val="2"/>
        </w:numPr>
      </w:pPr>
      <w:r>
        <w:t>System provides a message to both parties involved in the proposed transfer.</w:t>
      </w:r>
    </w:p>
    <w:p w:rsidR="003E111E" w:rsidRDefault="003E111E" w:rsidP="003E111E">
      <w:pPr>
        <w:numPr>
          <w:ilvl w:val="1"/>
          <w:numId w:val="2"/>
        </w:numPr>
      </w:pPr>
      <w:r>
        <w:t>If receiving Vessel Account Manager does not act on the transaction by the transfer deadline, the system will automatically retract the transfer and credit the QPs back to the initiating vessel QS account.</w:t>
      </w:r>
    </w:p>
    <w:p w:rsidR="003E111E" w:rsidRDefault="003E111E" w:rsidP="003E111E">
      <w:pPr>
        <w:numPr>
          <w:ilvl w:val="1"/>
          <w:numId w:val="2"/>
        </w:numPr>
      </w:pPr>
      <w:r>
        <w:t>The initiating</w:t>
      </w:r>
      <w:r w:rsidRPr="001B7A96">
        <w:t xml:space="preserve"> </w:t>
      </w:r>
      <w:r>
        <w:t xml:space="preserve">Vessel Account Transaction Manager </w:t>
      </w:r>
      <w:r w:rsidRPr="001B7A96">
        <w:t>can retract the transacti</w:t>
      </w:r>
      <w:r>
        <w:t>on at any time before the receiving</w:t>
      </w:r>
      <w:r w:rsidRPr="001B7A96">
        <w:t xml:space="preserve"> </w:t>
      </w:r>
      <w:r w:rsidRPr="00B90E65">
        <w:t>vessel account</w:t>
      </w:r>
      <w:r w:rsidRPr="001B7A96">
        <w:t xml:space="preserve"> accepts the transaction.</w:t>
      </w:r>
    </w:p>
    <w:p w:rsidR="003E111E" w:rsidRPr="00DC316D" w:rsidRDefault="003E111E" w:rsidP="003E111E">
      <w:pPr>
        <w:rPr>
          <w:rStyle w:val="StyleLatinGeorgia10ptBold"/>
        </w:rPr>
      </w:pPr>
      <w:r w:rsidRPr="00DC316D">
        <w:rPr>
          <w:rStyle w:val="StyleLatinGeorgia10ptBold"/>
        </w:rPr>
        <w:t>Alternate Flows:</w:t>
      </w:r>
    </w:p>
    <w:p w:rsidR="003E111E" w:rsidRDefault="003E111E" w:rsidP="003E111E">
      <w:pPr>
        <w:numPr>
          <w:ilvl w:val="0"/>
          <w:numId w:val="4"/>
        </w:numPr>
      </w:pPr>
      <w:r>
        <w:t>QP allotment causes vessel account to exceed daily unused limit and the annual allowable limit for a given species.</w:t>
      </w:r>
    </w:p>
    <w:p w:rsidR="003E111E" w:rsidRPr="009F721D" w:rsidRDefault="003E111E" w:rsidP="003E111E">
      <w:pPr>
        <w:numPr>
          <w:ilvl w:val="0"/>
          <w:numId w:val="5"/>
        </w:numPr>
      </w:pPr>
      <w:r>
        <w:t>System alerts Vessel Account Transaction Manager and does not allow the transfer to go through.</w:t>
      </w:r>
    </w:p>
    <w:p w:rsidR="003E111E" w:rsidRPr="00DC316D" w:rsidRDefault="003E111E" w:rsidP="003E111E">
      <w:pPr>
        <w:rPr>
          <w:rStyle w:val="StyleLatinGeorgia10ptBold"/>
        </w:rPr>
      </w:pPr>
      <w:r w:rsidRPr="00DC316D">
        <w:rPr>
          <w:rStyle w:val="StyleLatinGeorgia10ptBold"/>
        </w:rPr>
        <w:t>Required Inputs:</w:t>
      </w:r>
    </w:p>
    <w:p w:rsidR="003E111E" w:rsidRPr="009753E7" w:rsidRDefault="003E111E" w:rsidP="003E111E">
      <w:pPr>
        <w:numPr>
          <w:ilvl w:val="0"/>
          <w:numId w:val="6"/>
        </w:numPr>
      </w:pPr>
      <w:r>
        <w:t>QP by species to be allocated to a vessel account</w:t>
      </w:r>
    </w:p>
    <w:p w:rsidR="003E111E" w:rsidRPr="00344B62" w:rsidRDefault="003E111E" w:rsidP="003E111E">
      <w:pPr>
        <w:numPr>
          <w:ilvl w:val="0"/>
          <w:numId w:val="6"/>
        </w:numPr>
      </w:pPr>
      <w:r>
        <w:t>Cost by species</w:t>
      </w:r>
      <w:r w:rsidRPr="00707B61">
        <w:t xml:space="preserve"> </w:t>
      </w:r>
      <w:r>
        <w:t>where available</w:t>
      </w:r>
    </w:p>
    <w:p w:rsidR="003E111E" w:rsidRPr="005E6807" w:rsidRDefault="003E111E" w:rsidP="003E111E">
      <w:pPr>
        <w:numPr>
          <w:ilvl w:val="0"/>
          <w:numId w:val="6"/>
        </w:numPr>
      </w:pPr>
      <w:r>
        <w:t>Total cost of the transfer</w:t>
      </w:r>
    </w:p>
    <w:p w:rsidR="003E111E" w:rsidRDefault="003E111E" w:rsidP="003E111E">
      <w:pPr>
        <w:numPr>
          <w:ilvl w:val="0"/>
          <w:numId w:val="6"/>
        </w:numPr>
      </w:pPr>
      <w:r>
        <w:t xml:space="preserve">Receiving </w:t>
      </w:r>
      <w:r w:rsidRPr="00B90E65">
        <w:t>vessel account</w:t>
      </w:r>
      <w:r>
        <w:t xml:space="preserve"> identifier</w:t>
      </w:r>
    </w:p>
    <w:p w:rsidR="003E111E" w:rsidRPr="009F721D" w:rsidRDefault="003E111E" w:rsidP="003E111E">
      <w:pPr>
        <w:numPr>
          <w:ilvl w:val="0"/>
          <w:numId w:val="6"/>
        </w:numPr>
      </w:pPr>
      <w:r>
        <w:t xml:space="preserve">Initiating </w:t>
      </w:r>
      <w:r w:rsidRPr="00B90E65">
        <w:t>vessel account</w:t>
      </w:r>
      <w:r>
        <w:t xml:space="preserve"> identifier</w:t>
      </w:r>
    </w:p>
    <w:p w:rsidR="003E111E" w:rsidRPr="00F612FF" w:rsidRDefault="003E111E" w:rsidP="003E111E">
      <w:pPr>
        <w:rPr>
          <w:rStyle w:val="bold"/>
        </w:rPr>
      </w:pPr>
      <w:r>
        <w:rPr>
          <w:rStyle w:val="bold"/>
        </w:rPr>
        <w:t>View: QP</w:t>
      </w:r>
      <w:r w:rsidRPr="00F612FF">
        <w:rPr>
          <w:rStyle w:val="bold"/>
        </w:rPr>
        <w:t xml:space="preserve"> available for transfer from </w:t>
      </w:r>
      <w:r>
        <w:rPr>
          <w:rStyle w:val="bold"/>
        </w:rPr>
        <w:t>vessel</w:t>
      </w:r>
      <w:r w:rsidRPr="00F612FF">
        <w:rPr>
          <w:rStyle w:val="bold"/>
        </w:rPr>
        <w:t xml:space="preserve">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E111E" w:rsidRPr="00AC23B7" w:rsidTr="00AF367C">
        <w:tc>
          <w:tcPr>
            <w:tcW w:w="4428" w:type="dxa"/>
            <w:shd w:val="clear" w:color="auto" w:fill="auto"/>
          </w:tcPr>
          <w:p w:rsidR="003E111E" w:rsidRPr="0002018A" w:rsidRDefault="003E111E" w:rsidP="00AF367C">
            <w:pPr>
              <w:rPr>
                <w:rStyle w:val="tablecell"/>
              </w:rPr>
            </w:pPr>
            <w:r w:rsidRPr="0002018A">
              <w:rPr>
                <w:rStyle w:val="tablecell"/>
              </w:rPr>
              <w:t>Species</w:t>
            </w:r>
          </w:p>
        </w:tc>
        <w:tc>
          <w:tcPr>
            <w:tcW w:w="4428" w:type="dxa"/>
            <w:shd w:val="clear" w:color="auto" w:fill="auto"/>
          </w:tcPr>
          <w:p w:rsidR="003E111E" w:rsidRPr="0002018A" w:rsidRDefault="003E111E" w:rsidP="00AF367C">
            <w:pPr>
              <w:rPr>
                <w:rStyle w:val="tablecell"/>
              </w:rPr>
            </w:pPr>
            <w:r w:rsidRPr="0002018A">
              <w:rPr>
                <w:rStyle w:val="tablecell"/>
              </w:rPr>
              <w:t>Species categories</w:t>
            </w:r>
          </w:p>
        </w:tc>
      </w:tr>
      <w:tr w:rsidR="003E111E" w:rsidRPr="00AC23B7" w:rsidTr="00AF367C">
        <w:tc>
          <w:tcPr>
            <w:tcW w:w="4428" w:type="dxa"/>
            <w:shd w:val="clear" w:color="auto" w:fill="auto"/>
          </w:tcPr>
          <w:p w:rsidR="003E111E" w:rsidRPr="0002018A" w:rsidRDefault="003E111E" w:rsidP="00AF367C">
            <w:pPr>
              <w:rPr>
                <w:rStyle w:val="tablecell"/>
              </w:rPr>
            </w:pPr>
            <w:r w:rsidRPr="0002018A">
              <w:rPr>
                <w:rStyle w:val="tablecell"/>
              </w:rPr>
              <w:lastRenderedPageBreak/>
              <w:t>QPs Available</w:t>
            </w:r>
          </w:p>
        </w:tc>
        <w:tc>
          <w:tcPr>
            <w:tcW w:w="4428" w:type="dxa"/>
            <w:shd w:val="clear" w:color="auto" w:fill="auto"/>
          </w:tcPr>
          <w:p w:rsidR="003E111E" w:rsidRPr="0002018A" w:rsidRDefault="003E111E" w:rsidP="00AF367C">
            <w:pPr>
              <w:rPr>
                <w:rStyle w:val="tablecell"/>
              </w:rPr>
            </w:pPr>
            <w:r w:rsidRPr="0002018A">
              <w:rPr>
                <w:rStyle w:val="tablecell"/>
              </w:rPr>
              <w:t>QPs available for that species</w:t>
            </w:r>
          </w:p>
        </w:tc>
      </w:tr>
    </w:tbl>
    <w:p w:rsidR="003E111E" w:rsidRPr="00F612FF" w:rsidRDefault="003E111E" w:rsidP="003E111E">
      <w:pPr>
        <w:rPr>
          <w:rStyle w:val="bold"/>
        </w:rPr>
      </w:pPr>
      <w:r>
        <w:rPr>
          <w:rStyle w:val="bold"/>
        </w:rPr>
        <w:t>View: E</w:t>
      </w:r>
      <w:r w:rsidRPr="00F612FF">
        <w:rPr>
          <w:rStyle w:val="bold"/>
        </w:rPr>
        <w:t>ligible vessels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E111E" w:rsidRPr="00AC23B7" w:rsidTr="00AF367C">
        <w:tc>
          <w:tcPr>
            <w:tcW w:w="4428" w:type="dxa"/>
            <w:shd w:val="clear" w:color="auto" w:fill="auto"/>
          </w:tcPr>
          <w:p w:rsidR="003E111E" w:rsidRPr="0002018A" w:rsidRDefault="003E111E" w:rsidP="00AF367C">
            <w:pPr>
              <w:rPr>
                <w:rStyle w:val="tablecell"/>
              </w:rPr>
            </w:pPr>
            <w:r w:rsidRPr="0002018A">
              <w:rPr>
                <w:rStyle w:val="tablecell"/>
              </w:rPr>
              <w:t>Vessel Name</w:t>
            </w:r>
          </w:p>
        </w:tc>
        <w:tc>
          <w:tcPr>
            <w:tcW w:w="4428" w:type="dxa"/>
            <w:shd w:val="clear" w:color="auto" w:fill="auto"/>
          </w:tcPr>
          <w:p w:rsidR="003E111E" w:rsidRPr="0002018A" w:rsidRDefault="003E111E" w:rsidP="00AF367C">
            <w:pPr>
              <w:rPr>
                <w:rStyle w:val="tablecell"/>
              </w:rPr>
            </w:pPr>
            <w:r w:rsidRPr="0002018A">
              <w:rPr>
                <w:rStyle w:val="tablecell"/>
              </w:rPr>
              <w:t>The name of the vessel as reported in the vessel account</w:t>
            </w:r>
          </w:p>
        </w:tc>
      </w:tr>
      <w:tr w:rsidR="003E111E" w:rsidRPr="00AC23B7" w:rsidTr="00AF367C">
        <w:tc>
          <w:tcPr>
            <w:tcW w:w="4428" w:type="dxa"/>
            <w:shd w:val="clear" w:color="auto" w:fill="auto"/>
          </w:tcPr>
          <w:p w:rsidR="003E111E" w:rsidRPr="0002018A" w:rsidRDefault="003E111E" w:rsidP="00AF367C">
            <w:pPr>
              <w:rPr>
                <w:rStyle w:val="tablecell"/>
              </w:rPr>
            </w:pPr>
            <w:r w:rsidRPr="0002018A">
              <w:rPr>
                <w:rStyle w:val="tablecell"/>
              </w:rPr>
              <w:t>Vessel Owner</w:t>
            </w:r>
          </w:p>
        </w:tc>
        <w:tc>
          <w:tcPr>
            <w:tcW w:w="4428" w:type="dxa"/>
            <w:shd w:val="clear" w:color="auto" w:fill="auto"/>
          </w:tcPr>
          <w:p w:rsidR="003E111E" w:rsidRPr="0002018A" w:rsidRDefault="003E111E" w:rsidP="00AF367C">
            <w:pPr>
              <w:rPr>
                <w:rStyle w:val="tablecell"/>
              </w:rPr>
            </w:pPr>
            <w:r w:rsidRPr="0002018A">
              <w:rPr>
                <w:rStyle w:val="tablecell"/>
              </w:rPr>
              <w:t>The name of the owner as reported in the vessel account</w:t>
            </w:r>
          </w:p>
        </w:tc>
      </w:tr>
      <w:tr w:rsidR="003E111E" w:rsidRPr="00AC23B7" w:rsidTr="00AF367C">
        <w:tc>
          <w:tcPr>
            <w:tcW w:w="4428" w:type="dxa"/>
            <w:shd w:val="clear" w:color="auto" w:fill="auto"/>
          </w:tcPr>
          <w:p w:rsidR="003E111E" w:rsidRPr="0002018A" w:rsidRDefault="003E111E" w:rsidP="00AF367C">
            <w:pPr>
              <w:rPr>
                <w:rStyle w:val="tablecell"/>
              </w:rPr>
            </w:pPr>
            <w:r>
              <w:rPr>
                <w:rStyle w:val="tablecell"/>
              </w:rPr>
              <w:t>Vessel ID</w:t>
            </w:r>
          </w:p>
        </w:tc>
        <w:tc>
          <w:tcPr>
            <w:tcW w:w="4428" w:type="dxa"/>
            <w:shd w:val="clear" w:color="auto" w:fill="auto"/>
          </w:tcPr>
          <w:p w:rsidR="003E111E" w:rsidRPr="0002018A" w:rsidRDefault="003E111E" w:rsidP="00AF367C">
            <w:pPr>
              <w:rPr>
                <w:rStyle w:val="tablecell"/>
              </w:rPr>
            </w:pPr>
            <w:r>
              <w:rPr>
                <w:rStyle w:val="tablecell"/>
              </w:rPr>
              <w:t>Vessel ID as reported on the vessel account</w:t>
            </w:r>
          </w:p>
        </w:tc>
      </w:tr>
    </w:tbl>
    <w:p w:rsidR="003E111E" w:rsidRDefault="003E111E" w:rsidP="003E111E">
      <w:pPr>
        <w:rPr>
          <w:rStyle w:val="StyleLatinGeorgia10ptBold"/>
        </w:rPr>
      </w:pPr>
    </w:p>
    <w:p w:rsidR="003E111E" w:rsidRPr="00DC316D" w:rsidRDefault="003E111E" w:rsidP="003E111E">
      <w:pPr>
        <w:rPr>
          <w:rStyle w:val="StyleLatinGeorgia10pt"/>
        </w:rPr>
      </w:pPr>
      <w:r w:rsidRPr="00DC316D">
        <w:rPr>
          <w:rStyle w:val="StyleLatinGeorgia10ptBold"/>
        </w:rPr>
        <w:t>Open Issues</w:t>
      </w:r>
      <w:r w:rsidRPr="00DC316D">
        <w:rPr>
          <w:rStyle w:val="StyleLatinGeorgia10pt"/>
        </w:rPr>
        <w:t>:</w:t>
      </w:r>
    </w:p>
    <w:p w:rsidR="003E111E" w:rsidRPr="00DC316D" w:rsidRDefault="003E111E" w:rsidP="003E111E">
      <w:pPr>
        <w:rPr>
          <w:rStyle w:val="StyleLatinGeorgia10pt"/>
        </w:rPr>
      </w:pPr>
      <w:r w:rsidRPr="00DC316D">
        <w:rPr>
          <w:rStyle w:val="StyleLatinGeorgia10ptBold"/>
        </w:rPr>
        <w:t>Source Code</w:t>
      </w:r>
      <w:r w:rsidRPr="00DC316D">
        <w:rPr>
          <w:rStyle w:val="StyleLatinGeorgia10pt"/>
        </w:rPr>
        <w:t xml:space="preserve">: </w:t>
      </w:r>
      <w:r w:rsidRPr="00050795">
        <w:rPr>
          <w:rFonts w:ascii="Georgia" w:hAnsi="Georgia"/>
          <w:i/>
          <w:sz w:val="20"/>
          <w:szCs w:val="20"/>
        </w:rPr>
        <w:t>list of files, to be added during Development phase.</w:t>
      </w:r>
    </w:p>
    <w:p w:rsidR="003E111E" w:rsidRPr="00C75C55" w:rsidRDefault="003E111E" w:rsidP="003E111E">
      <w:pPr>
        <w:rPr>
          <w:rStyle w:val="Hyperlink"/>
        </w:rPr>
      </w:pPr>
      <w:r w:rsidRPr="00DC316D">
        <w:rPr>
          <w:rStyle w:val="StyleLatinGeorgia10ptBold"/>
        </w:rPr>
        <w:t>References</w:t>
      </w:r>
      <w:r w:rsidRPr="00DC316D">
        <w:rPr>
          <w:rStyle w:val="StyleLatinGeorgia10pt"/>
        </w:rPr>
        <w:t>:</w:t>
      </w:r>
      <w:r>
        <w:rPr>
          <w:rStyle w:val="StyleLatinGeorgia10pt"/>
        </w:rPr>
        <w:t xml:space="preserve"> </w:t>
      </w:r>
      <w:hyperlink r:id="rId6" w:history="1">
        <w:r w:rsidRPr="00C75C55">
          <w:rPr>
            <w:rStyle w:val="Hyperlink"/>
          </w:rPr>
          <w:t>AUG_13_10_QS_VESSEL_ACCOUNT_RULES.docx</w:t>
        </w:r>
      </w:hyperlink>
      <w:r w:rsidRPr="00C75C55">
        <w:rPr>
          <w:rStyle w:val="Hyperlink"/>
        </w:rPr>
        <w:t xml:space="preserve"> p.2</w:t>
      </w:r>
    </w:p>
    <w:p w:rsidR="003E111E" w:rsidRPr="00DC316D" w:rsidRDefault="003E111E" w:rsidP="003E111E">
      <w:pPr>
        <w:rPr>
          <w:rStyle w:val="StyleLatinGeorgia10pt"/>
        </w:rPr>
      </w:pPr>
      <w:r w:rsidRPr="00DC316D">
        <w:rPr>
          <w:rStyle w:val="StyleLatinGeorgia10ptBold"/>
        </w:rPr>
        <w:t>History</w:t>
      </w:r>
      <w:r w:rsidRPr="00DC316D">
        <w:rPr>
          <w:rStyle w:val="StyleLatinGeorgia10pt"/>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1"/>
        <w:gridCol w:w="4495"/>
        <w:gridCol w:w="2022"/>
      </w:tblGrid>
      <w:tr w:rsidR="003E111E" w:rsidRPr="00AC23B7" w:rsidTr="00AF367C">
        <w:tc>
          <w:tcPr>
            <w:tcW w:w="1961" w:type="dxa"/>
          </w:tcPr>
          <w:p w:rsidR="003E111E" w:rsidRPr="00971CB0" w:rsidRDefault="003E111E" w:rsidP="00AF367C">
            <w:pPr>
              <w:rPr>
                <w:rStyle w:val="tablecell"/>
              </w:rPr>
            </w:pPr>
            <w:r w:rsidRPr="00971CB0">
              <w:rPr>
                <w:rStyle w:val="tablecell"/>
              </w:rPr>
              <w:t>Requirements</w:t>
            </w:r>
          </w:p>
        </w:tc>
        <w:tc>
          <w:tcPr>
            <w:tcW w:w="4495" w:type="dxa"/>
          </w:tcPr>
          <w:p w:rsidR="003E111E" w:rsidRPr="00971CB0" w:rsidRDefault="003E111E" w:rsidP="00AF367C">
            <w:pPr>
              <w:rPr>
                <w:rStyle w:val="tablecell"/>
              </w:rPr>
            </w:pPr>
            <w:r w:rsidRPr="00971CB0">
              <w:rPr>
                <w:rStyle w:val="tablecell"/>
              </w:rPr>
              <w:t>Kevin Ford</w:t>
            </w:r>
          </w:p>
        </w:tc>
        <w:tc>
          <w:tcPr>
            <w:tcW w:w="2022" w:type="dxa"/>
          </w:tcPr>
          <w:p w:rsidR="003E111E" w:rsidRPr="00971CB0" w:rsidRDefault="003E111E" w:rsidP="00AF367C">
            <w:pPr>
              <w:rPr>
                <w:rStyle w:val="tablecell"/>
              </w:rPr>
            </w:pPr>
            <w:r w:rsidRPr="00971CB0">
              <w:rPr>
                <w:rStyle w:val="tablecell"/>
              </w:rPr>
              <w:t>8/18/2010</w:t>
            </w:r>
          </w:p>
        </w:tc>
      </w:tr>
      <w:tr w:rsidR="003E111E" w:rsidRPr="00AC23B7" w:rsidTr="00AF367C">
        <w:tc>
          <w:tcPr>
            <w:tcW w:w="1961" w:type="dxa"/>
          </w:tcPr>
          <w:p w:rsidR="003E111E" w:rsidRPr="00971CB0" w:rsidRDefault="003E111E" w:rsidP="00AF367C">
            <w:pPr>
              <w:rPr>
                <w:rStyle w:val="tablecell"/>
              </w:rPr>
            </w:pPr>
            <w:r>
              <w:rPr>
                <w:rStyle w:val="tablecell"/>
              </w:rPr>
              <w:t>Use Cases</w:t>
            </w:r>
          </w:p>
        </w:tc>
        <w:tc>
          <w:tcPr>
            <w:tcW w:w="4495" w:type="dxa"/>
          </w:tcPr>
          <w:p w:rsidR="003E111E" w:rsidRPr="00971CB0" w:rsidRDefault="00DF31D6" w:rsidP="00AF367C">
            <w:pPr>
              <w:rPr>
                <w:rStyle w:val="tablecell"/>
              </w:rPr>
            </w:pPr>
            <w:r>
              <w:rPr>
                <w:rStyle w:val="tablecell"/>
              </w:rPr>
              <w:t xml:space="preserve">David E. </w:t>
            </w:r>
            <w:proofErr w:type="spellStart"/>
            <w:r>
              <w:rPr>
                <w:rStyle w:val="tablecell"/>
              </w:rPr>
              <w:t>Berklund</w:t>
            </w:r>
            <w:proofErr w:type="spellEnd"/>
            <w:r>
              <w:rPr>
                <w:rStyle w:val="tablecell"/>
              </w:rPr>
              <w:t>, Jeff Cowe</w:t>
            </w:r>
            <w:bookmarkStart w:id="1" w:name="_GoBack"/>
            <w:bookmarkEnd w:id="1"/>
            <w:r w:rsidR="003E111E">
              <w:rPr>
                <w:rStyle w:val="tablecell"/>
              </w:rPr>
              <w:t>n</w:t>
            </w:r>
          </w:p>
        </w:tc>
        <w:tc>
          <w:tcPr>
            <w:tcW w:w="2022" w:type="dxa"/>
          </w:tcPr>
          <w:p w:rsidR="003E111E" w:rsidRPr="00971CB0" w:rsidRDefault="003E111E" w:rsidP="00AF367C">
            <w:pPr>
              <w:rPr>
                <w:rStyle w:val="tablecell"/>
              </w:rPr>
            </w:pPr>
            <w:r w:rsidRPr="00971CB0">
              <w:rPr>
                <w:rStyle w:val="tablecell"/>
              </w:rPr>
              <w:t>10/19/2010</w:t>
            </w:r>
          </w:p>
        </w:tc>
      </w:tr>
      <w:tr w:rsidR="003E111E" w:rsidRPr="00AC23B7" w:rsidTr="00AF367C">
        <w:tc>
          <w:tcPr>
            <w:tcW w:w="1961" w:type="dxa"/>
            <w:tcBorders>
              <w:bottom w:val="single" w:sz="12" w:space="0" w:color="000000"/>
            </w:tcBorders>
          </w:tcPr>
          <w:p w:rsidR="003E111E" w:rsidRPr="00971CB0" w:rsidRDefault="003E111E" w:rsidP="00AF367C">
            <w:pPr>
              <w:rPr>
                <w:rStyle w:val="tablecell"/>
              </w:rPr>
            </w:pPr>
            <w:r w:rsidRPr="00971CB0">
              <w:rPr>
                <w:rStyle w:val="tablecell"/>
              </w:rPr>
              <w:t>Editor</w:t>
            </w:r>
            <w:r>
              <w:rPr>
                <w:rStyle w:val="tablecell"/>
              </w:rPr>
              <w:t>s</w:t>
            </w:r>
          </w:p>
        </w:tc>
        <w:tc>
          <w:tcPr>
            <w:tcW w:w="4495" w:type="dxa"/>
            <w:tcBorders>
              <w:bottom w:val="single" w:sz="12" w:space="0" w:color="000000"/>
            </w:tcBorders>
          </w:tcPr>
          <w:p w:rsidR="003E111E" w:rsidRPr="00971CB0" w:rsidRDefault="003E111E" w:rsidP="00AF367C">
            <w:pPr>
              <w:rPr>
                <w:rStyle w:val="tablecell"/>
              </w:rPr>
            </w:pPr>
            <w:r>
              <w:rPr>
                <w:rStyle w:val="tablecell"/>
              </w:rPr>
              <w:t xml:space="preserve">Rob </w:t>
            </w:r>
            <w:proofErr w:type="spellStart"/>
            <w:r>
              <w:rPr>
                <w:rStyle w:val="tablecell"/>
              </w:rPr>
              <w:t>Marsicek</w:t>
            </w:r>
            <w:proofErr w:type="spellEnd"/>
          </w:p>
        </w:tc>
        <w:tc>
          <w:tcPr>
            <w:tcW w:w="2022" w:type="dxa"/>
            <w:tcBorders>
              <w:bottom w:val="single" w:sz="12" w:space="0" w:color="000000"/>
            </w:tcBorders>
          </w:tcPr>
          <w:p w:rsidR="003E111E" w:rsidRPr="00971CB0" w:rsidRDefault="003E111E" w:rsidP="00AF367C">
            <w:pPr>
              <w:rPr>
                <w:rStyle w:val="tablecell"/>
              </w:rPr>
            </w:pPr>
            <w:r>
              <w:rPr>
                <w:rStyle w:val="tablecell"/>
              </w:rPr>
              <w:t>10/21/2010</w:t>
            </w:r>
          </w:p>
        </w:tc>
      </w:tr>
      <w:tr w:rsidR="003E111E" w:rsidRPr="00AC23B7" w:rsidTr="00AF367C">
        <w:tc>
          <w:tcPr>
            <w:tcW w:w="1961" w:type="dxa"/>
            <w:tcBorders>
              <w:top w:val="single" w:sz="12" w:space="0" w:color="000000"/>
            </w:tcBorders>
          </w:tcPr>
          <w:p w:rsidR="003E111E" w:rsidRPr="00971CB0" w:rsidRDefault="003E111E" w:rsidP="00AF367C">
            <w:pPr>
              <w:rPr>
                <w:rStyle w:val="tablecell"/>
              </w:rPr>
            </w:pPr>
            <w:r>
              <w:rPr>
                <w:rStyle w:val="tablecell"/>
              </w:rPr>
              <w:t>Review Cycle</w:t>
            </w:r>
          </w:p>
        </w:tc>
        <w:tc>
          <w:tcPr>
            <w:tcW w:w="4495" w:type="dxa"/>
            <w:tcBorders>
              <w:top w:val="single" w:sz="12" w:space="0" w:color="000000"/>
            </w:tcBorders>
          </w:tcPr>
          <w:p w:rsidR="003E111E" w:rsidRPr="00971CB0" w:rsidRDefault="003E111E" w:rsidP="00AF367C">
            <w:pPr>
              <w:rPr>
                <w:rStyle w:val="tablecell"/>
              </w:rPr>
            </w:pPr>
            <w:r>
              <w:rPr>
                <w:rStyle w:val="tablecell"/>
              </w:rPr>
              <w:t xml:space="preserve">Meeting with Kevin Ford, Steve </w:t>
            </w:r>
            <w:proofErr w:type="spellStart"/>
            <w:r>
              <w:rPr>
                <w:rStyle w:val="tablecell"/>
              </w:rPr>
              <w:t>Freese</w:t>
            </w:r>
            <w:proofErr w:type="spellEnd"/>
            <w:r>
              <w:rPr>
                <w:rStyle w:val="tablecell"/>
              </w:rPr>
              <w:t>, and Rich Kang</w:t>
            </w:r>
          </w:p>
        </w:tc>
        <w:tc>
          <w:tcPr>
            <w:tcW w:w="2022" w:type="dxa"/>
            <w:tcBorders>
              <w:top w:val="single" w:sz="12" w:space="0" w:color="000000"/>
            </w:tcBorders>
          </w:tcPr>
          <w:p w:rsidR="003E111E" w:rsidRPr="00971CB0" w:rsidRDefault="003E111E" w:rsidP="00AF367C">
            <w:pPr>
              <w:rPr>
                <w:rStyle w:val="tablecell"/>
              </w:rPr>
            </w:pPr>
            <w:r w:rsidRPr="00971CB0">
              <w:rPr>
                <w:rStyle w:val="tablecell"/>
              </w:rPr>
              <w:t>8/26/2010</w:t>
            </w:r>
          </w:p>
        </w:tc>
      </w:tr>
      <w:tr w:rsidR="003E111E" w:rsidRPr="00AC23B7" w:rsidTr="00AF367C">
        <w:tc>
          <w:tcPr>
            <w:tcW w:w="1961" w:type="dxa"/>
          </w:tcPr>
          <w:p w:rsidR="003E111E" w:rsidRPr="00971CB0" w:rsidRDefault="003E111E" w:rsidP="00AF367C">
            <w:pPr>
              <w:rPr>
                <w:rStyle w:val="tablecell"/>
              </w:rPr>
            </w:pPr>
          </w:p>
        </w:tc>
        <w:tc>
          <w:tcPr>
            <w:tcW w:w="4495" w:type="dxa"/>
          </w:tcPr>
          <w:p w:rsidR="003E111E" w:rsidRPr="00971CB0" w:rsidRDefault="003E111E" w:rsidP="00AF367C">
            <w:pPr>
              <w:rPr>
                <w:rStyle w:val="tablecell"/>
              </w:rPr>
            </w:pPr>
            <w:r>
              <w:rPr>
                <w:rStyle w:val="tablecell"/>
              </w:rPr>
              <w:t>Draft 2 review with SDM, NWR Permits, PSMFC, NMFS/NWR, PC Database Solutions, J Street Technology</w:t>
            </w:r>
          </w:p>
        </w:tc>
        <w:tc>
          <w:tcPr>
            <w:tcW w:w="2022" w:type="dxa"/>
          </w:tcPr>
          <w:p w:rsidR="003E111E" w:rsidRPr="00971CB0" w:rsidRDefault="003E111E" w:rsidP="00AF367C">
            <w:pPr>
              <w:rPr>
                <w:rStyle w:val="tablecell"/>
              </w:rPr>
            </w:pPr>
            <w:r>
              <w:rPr>
                <w:rStyle w:val="tablecell"/>
              </w:rPr>
              <w:t>10/27/2010</w:t>
            </w:r>
          </w:p>
        </w:tc>
      </w:tr>
      <w:tr w:rsidR="003E111E" w:rsidRPr="00AC23B7" w:rsidTr="00AF367C">
        <w:tc>
          <w:tcPr>
            <w:tcW w:w="1961" w:type="dxa"/>
            <w:tcBorders>
              <w:bottom w:val="single" w:sz="12" w:space="0" w:color="000000"/>
            </w:tcBorders>
          </w:tcPr>
          <w:p w:rsidR="003E111E" w:rsidRPr="00971CB0" w:rsidRDefault="003E111E" w:rsidP="00AF367C">
            <w:pPr>
              <w:rPr>
                <w:rStyle w:val="tablecell"/>
              </w:rPr>
            </w:pPr>
          </w:p>
        </w:tc>
        <w:tc>
          <w:tcPr>
            <w:tcW w:w="4495" w:type="dxa"/>
            <w:tcBorders>
              <w:bottom w:val="single" w:sz="12" w:space="0" w:color="000000"/>
            </w:tcBorders>
          </w:tcPr>
          <w:p w:rsidR="003E111E" w:rsidRPr="00971CB0" w:rsidRDefault="003E111E" w:rsidP="00AF367C">
            <w:pPr>
              <w:rPr>
                <w:rStyle w:val="tablecell"/>
              </w:rPr>
            </w:pPr>
          </w:p>
        </w:tc>
        <w:tc>
          <w:tcPr>
            <w:tcW w:w="2022" w:type="dxa"/>
            <w:tcBorders>
              <w:bottom w:val="single" w:sz="12" w:space="0" w:color="000000"/>
            </w:tcBorders>
          </w:tcPr>
          <w:p w:rsidR="003E111E" w:rsidRPr="00971CB0" w:rsidRDefault="003E111E" w:rsidP="00AF367C">
            <w:pPr>
              <w:rPr>
                <w:rStyle w:val="tablecell"/>
              </w:rPr>
            </w:pPr>
          </w:p>
        </w:tc>
      </w:tr>
      <w:tr w:rsidR="003E111E" w:rsidRPr="00AC23B7" w:rsidTr="00AF367C">
        <w:tc>
          <w:tcPr>
            <w:tcW w:w="1961" w:type="dxa"/>
            <w:tcBorders>
              <w:top w:val="single" w:sz="12" w:space="0" w:color="000000"/>
            </w:tcBorders>
          </w:tcPr>
          <w:p w:rsidR="003E111E" w:rsidRPr="0002018A" w:rsidRDefault="003E111E" w:rsidP="00AF367C">
            <w:pPr>
              <w:rPr>
                <w:rStyle w:val="tablecell"/>
              </w:rPr>
            </w:pPr>
            <w:r w:rsidRPr="0002018A">
              <w:rPr>
                <w:rStyle w:val="tablecell"/>
              </w:rPr>
              <w:t>Analysis</w:t>
            </w:r>
          </w:p>
        </w:tc>
        <w:tc>
          <w:tcPr>
            <w:tcW w:w="4495" w:type="dxa"/>
            <w:tcBorders>
              <w:top w:val="single" w:sz="12" w:space="0" w:color="000000"/>
            </w:tcBorders>
          </w:tcPr>
          <w:p w:rsidR="003E111E" w:rsidRPr="0002018A" w:rsidRDefault="003E111E" w:rsidP="00AF367C">
            <w:pPr>
              <w:rPr>
                <w:rStyle w:val="tablecell"/>
              </w:rPr>
            </w:pPr>
          </w:p>
        </w:tc>
        <w:tc>
          <w:tcPr>
            <w:tcW w:w="2022" w:type="dxa"/>
            <w:tcBorders>
              <w:top w:val="single" w:sz="12" w:space="0" w:color="000000"/>
            </w:tcBorders>
          </w:tcPr>
          <w:p w:rsidR="003E111E" w:rsidRPr="0002018A" w:rsidRDefault="003E111E" w:rsidP="00AF367C">
            <w:pPr>
              <w:rPr>
                <w:rStyle w:val="tablecell"/>
              </w:rPr>
            </w:pPr>
          </w:p>
        </w:tc>
      </w:tr>
      <w:tr w:rsidR="003E111E" w:rsidRPr="00AC23B7" w:rsidTr="00AF367C">
        <w:tc>
          <w:tcPr>
            <w:tcW w:w="1961" w:type="dxa"/>
          </w:tcPr>
          <w:p w:rsidR="003E111E" w:rsidRPr="0002018A" w:rsidRDefault="003E111E" w:rsidP="00AF367C">
            <w:pPr>
              <w:rPr>
                <w:rStyle w:val="tablecell"/>
              </w:rPr>
            </w:pPr>
            <w:r w:rsidRPr="0002018A">
              <w:rPr>
                <w:rStyle w:val="tablecell"/>
              </w:rPr>
              <w:t>Design</w:t>
            </w:r>
          </w:p>
        </w:tc>
        <w:tc>
          <w:tcPr>
            <w:tcW w:w="4495" w:type="dxa"/>
          </w:tcPr>
          <w:p w:rsidR="003E111E" w:rsidRPr="0002018A" w:rsidRDefault="003E111E" w:rsidP="00AF367C">
            <w:pPr>
              <w:rPr>
                <w:rStyle w:val="tablecell"/>
              </w:rPr>
            </w:pPr>
          </w:p>
        </w:tc>
        <w:tc>
          <w:tcPr>
            <w:tcW w:w="2022" w:type="dxa"/>
          </w:tcPr>
          <w:p w:rsidR="003E111E" w:rsidRPr="0002018A" w:rsidRDefault="003E111E" w:rsidP="00AF367C">
            <w:pPr>
              <w:rPr>
                <w:rStyle w:val="tablecell"/>
              </w:rPr>
            </w:pPr>
          </w:p>
        </w:tc>
      </w:tr>
      <w:tr w:rsidR="003E111E" w:rsidRPr="00AC23B7" w:rsidTr="00AF367C">
        <w:trPr>
          <w:trHeight w:val="37"/>
        </w:trPr>
        <w:tc>
          <w:tcPr>
            <w:tcW w:w="1961" w:type="dxa"/>
          </w:tcPr>
          <w:p w:rsidR="003E111E" w:rsidRPr="0002018A" w:rsidRDefault="003E111E" w:rsidP="00AF367C">
            <w:pPr>
              <w:rPr>
                <w:rStyle w:val="tablecell"/>
              </w:rPr>
            </w:pPr>
            <w:r w:rsidRPr="0002018A">
              <w:rPr>
                <w:rStyle w:val="tablecell"/>
              </w:rPr>
              <w:t>Prototype</w:t>
            </w:r>
          </w:p>
        </w:tc>
        <w:tc>
          <w:tcPr>
            <w:tcW w:w="4495" w:type="dxa"/>
            <w:shd w:val="clear" w:color="auto" w:fill="auto"/>
          </w:tcPr>
          <w:p w:rsidR="003E111E" w:rsidRPr="0002018A" w:rsidRDefault="003E111E" w:rsidP="00AF367C">
            <w:pPr>
              <w:rPr>
                <w:rStyle w:val="tablecell"/>
              </w:rPr>
            </w:pPr>
          </w:p>
        </w:tc>
        <w:tc>
          <w:tcPr>
            <w:tcW w:w="2022" w:type="dxa"/>
            <w:shd w:val="clear" w:color="auto" w:fill="auto"/>
          </w:tcPr>
          <w:p w:rsidR="003E111E" w:rsidRPr="0002018A" w:rsidRDefault="003E111E" w:rsidP="00AF367C">
            <w:pPr>
              <w:rPr>
                <w:rStyle w:val="tablecell"/>
              </w:rPr>
            </w:pPr>
          </w:p>
        </w:tc>
      </w:tr>
      <w:tr w:rsidR="003E111E" w:rsidRPr="00AC23B7" w:rsidTr="00AF367C">
        <w:trPr>
          <w:trHeight w:val="34"/>
        </w:trPr>
        <w:tc>
          <w:tcPr>
            <w:tcW w:w="1961" w:type="dxa"/>
          </w:tcPr>
          <w:p w:rsidR="003E111E" w:rsidRPr="0002018A" w:rsidRDefault="003E111E" w:rsidP="00AF367C">
            <w:pPr>
              <w:rPr>
                <w:rStyle w:val="tablecell"/>
              </w:rPr>
            </w:pPr>
            <w:r w:rsidRPr="0002018A">
              <w:rPr>
                <w:rStyle w:val="tablecell"/>
              </w:rPr>
              <w:t>Development</w:t>
            </w:r>
          </w:p>
        </w:tc>
        <w:tc>
          <w:tcPr>
            <w:tcW w:w="4495" w:type="dxa"/>
            <w:shd w:val="clear" w:color="auto" w:fill="auto"/>
          </w:tcPr>
          <w:p w:rsidR="003E111E" w:rsidRPr="0002018A" w:rsidRDefault="003E111E" w:rsidP="00AF367C">
            <w:pPr>
              <w:rPr>
                <w:rStyle w:val="tablecell"/>
              </w:rPr>
            </w:pPr>
          </w:p>
        </w:tc>
        <w:tc>
          <w:tcPr>
            <w:tcW w:w="2022" w:type="dxa"/>
            <w:shd w:val="clear" w:color="auto" w:fill="auto"/>
          </w:tcPr>
          <w:p w:rsidR="003E111E" w:rsidRPr="0002018A" w:rsidRDefault="003E111E" w:rsidP="00AF367C">
            <w:pPr>
              <w:rPr>
                <w:rStyle w:val="tablecell"/>
              </w:rPr>
            </w:pPr>
          </w:p>
        </w:tc>
      </w:tr>
      <w:tr w:rsidR="003E111E" w:rsidRPr="00AC23B7" w:rsidTr="00AF367C">
        <w:trPr>
          <w:trHeight w:val="34"/>
        </w:trPr>
        <w:tc>
          <w:tcPr>
            <w:tcW w:w="1961" w:type="dxa"/>
          </w:tcPr>
          <w:p w:rsidR="003E111E" w:rsidRPr="0002018A" w:rsidRDefault="003E111E" w:rsidP="00AF367C">
            <w:pPr>
              <w:rPr>
                <w:rStyle w:val="tablecell"/>
              </w:rPr>
            </w:pPr>
            <w:r w:rsidRPr="0002018A">
              <w:rPr>
                <w:rStyle w:val="tablecell"/>
              </w:rPr>
              <w:t>Testing</w:t>
            </w:r>
          </w:p>
        </w:tc>
        <w:tc>
          <w:tcPr>
            <w:tcW w:w="4495" w:type="dxa"/>
            <w:shd w:val="clear" w:color="auto" w:fill="auto"/>
          </w:tcPr>
          <w:p w:rsidR="003E111E" w:rsidRPr="0002018A" w:rsidRDefault="003E111E" w:rsidP="00AF367C">
            <w:pPr>
              <w:rPr>
                <w:rStyle w:val="tablecell"/>
              </w:rPr>
            </w:pPr>
          </w:p>
        </w:tc>
        <w:tc>
          <w:tcPr>
            <w:tcW w:w="2022" w:type="dxa"/>
            <w:shd w:val="clear" w:color="auto" w:fill="auto"/>
          </w:tcPr>
          <w:p w:rsidR="003E111E" w:rsidRPr="0002018A" w:rsidRDefault="003E111E" w:rsidP="00AF367C">
            <w:pPr>
              <w:rPr>
                <w:rStyle w:val="tablecell"/>
              </w:rPr>
            </w:pPr>
          </w:p>
        </w:tc>
      </w:tr>
      <w:tr w:rsidR="003E111E" w:rsidRPr="00AC23B7" w:rsidTr="00AF367C">
        <w:trPr>
          <w:trHeight w:val="34"/>
        </w:trPr>
        <w:tc>
          <w:tcPr>
            <w:tcW w:w="1961" w:type="dxa"/>
          </w:tcPr>
          <w:p w:rsidR="003E111E" w:rsidRPr="0002018A" w:rsidRDefault="003E111E" w:rsidP="00AF367C">
            <w:pPr>
              <w:rPr>
                <w:rStyle w:val="tablecell"/>
              </w:rPr>
            </w:pPr>
            <w:r w:rsidRPr="0002018A">
              <w:rPr>
                <w:rStyle w:val="tablecell"/>
              </w:rPr>
              <w:t>Documentation</w:t>
            </w:r>
          </w:p>
        </w:tc>
        <w:tc>
          <w:tcPr>
            <w:tcW w:w="4495" w:type="dxa"/>
            <w:shd w:val="clear" w:color="auto" w:fill="auto"/>
          </w:tcPr>
          <w:p w:rsidR="003E111E" w:rsidRPr="0002018A" w:rsidRDefault="003E111E" w:rsidP="00AF367C">
            <w:pPr>
              <w:rPr>
                <w:rStyle w:val="tablecell"/>
              </w:rPr>
            </w:pPr>
            <w:r>
              <w:rPr>
                <w:rStyle w:val="tablecell"/>
              </w:rPr>
              <w:t xml:space="preserve">Len </w:t>
            </w:r>
            <w:proofErr w:type="spellStart"/>
            <w:r>
              <w:rPr>
                <w:rStyle w:val="tablecell"/>
              </w:rPr>
              <w:t>Kannapell</w:t>
            </w:r>
            <w:proofErr w:type="spellEnd"/>
          </w:p>
        </w:tc>
        <w:tc>
          <w:tcPr>
            <w:tcW w:w="2022" w:type="dxa"/>
            <w:shd w:val="clear" w:color="auto" w:fill="auto"/>
          </w:tcPr>
          <w:p w:rsidR="003E111E" w:rsidRPr="0002018A" w:rsidRDefault="003E111E" w:rsidP="00AF367C">
            <w:pPr>
              <w:rPr>
                <w:rStyle w:val="tablecell"/>
              </w:rPr>
            </w:pPr>
            <w:r>
              <w:rPr>
                <w:rStyle w:val="tablecell"/>
              </w:rPr>
              <w:t>10/19/2010</w:t>
            </w:r>
          </w:p>
        </w:tc>
      </w:tr>
      <w:tr w:rsidR="003E111E" w:rsidRPr="00AC23B7" w:rsidTr="00AF367C">
        <w:trPr>
          <w:trHeight w:val="34"/>
        </w:trPr>
        <w:tc>
          <w:tcPr>
            <w:tcW w:w="1961" w:type="dxa"/>
          </w:tcPr>
          <w:p w:rsidR="003E111E" w:rsidRPr="0002018A" w:rsidRDefault="003E111E" w:rsidP="00AF367C">
            <w:pPr>
              <w:rPr>
                <w:rStyle w:val="tablecell"/>
              </w:rPr>
            </w:pPr>
            <w:r w:rsidRPr="0002018A">
              <w:rPr>
                <w:rStyle w:val="tablecell"/>
              </w:rPr>
              <w:t>Transition</w:t>
            </w:r>
          </w:p>
        </w:tc>
        <w:tc>
          <w:tcPr>
            <w:tcW w:w="4495" w:type="dxa"/>
            <w:shd w:val="clear" w:color="auto" w:fill="auto"/>
          </w:tcPr>
          <w:p w:rsidR="003E111E" w:rsidRPr="0002018A" w:rsidRDefault="003E111E" w:rsidP="00AF367C">
            <w:pPr>
              <w:rPr>
                <w:rStyle w:val="tablecell"/>
              </w:rPr>
            </w:pPr>
          </w:p>
        </w:tc>
        <w:tc>
          <w:tcPr>
            <w:tcW w:w="2022" w:type="dxa"/>
            <w:shd w:val="clear" w:color="auto" w:fill="auto"/>
          </w:tcPr>
          <w:p w:rsidR="003E111E" w:rsidRPr="0002018A" w:rsidRDefault="003E111E" w:rsidP="00AF367C">
            <w:pPr>
              <w:rPr>
                <w:rStyle w:val="tablecell"/>
              </w:rPr>
            </w:pPr>
          </w:p>
        </w:tc>
      </w:tr>
      <w:tr w:rsidR="003E111E" w:rsidRPr="00AC23B7" w:rsidTr="00AF367C">
        <w:trPr>
          <w:trHeight w:val="104"/>
        </w:trPr>
        <w:tc>
          <w:tcPr>
            <w:tcW w:w="1961" w:type="dxa"/>
          </w:tcPr>
          <w:p w:rsidR="003E111E" w:rsidRPr="0002018A" w:rsidRDefault="003E111E" w:rsidP="00AF367C">
            <w:pPr>
              <w:rPr>
                <w:rStyle w:val="tablecell"/>
              </w:rPr>
            </w:pPr>
            <w:r w:rsidRPr="0002018A">
              <w:rPr>
                <w:rStyle w:val="tablecell"/>
              </w:rPr>
              <w:t>Production</w:t>
            </w:r>
          </w:p>
        </w:tc>
        <w:tc>
          <w:tcPr>
            <w:tcW w:w="4495" w:type="dxa"/>
            <w:shd w:val="clear" w:color="auto" w:fill="auto"/>
          </w:tcPr>
          <w:p w:rsidR="003E111E" w:rsidRPr="0002018A" w:rsidRDefault="003E111E" w:rsidP="00AF367C">
            <w:pPr>
              <w:rPr>
                <w:rStyle w:val="tablecell"/>
              </w:rPr>
            </w:pPr>
          </w:p>
        </w:tc>
        <w:tc>
          <w:tcPr>
            <w:tcW w:w="2022" w:type="dxa"/>
            <w:shd w:val="clear" w:color="auto" w:fill="auto"/>
          </w:tcPr>
          <w:p w:rsidR="003E111E" w:rsidRPr="0002018A" w:rsidRDefault="003E111E" w:rsidP="00AF367C">
            <w:pPr>
              <w:rPr>
                <w:rStyle w:val="tablecell"/>
              </w:rPr>
            </w:pPr>
          </w:p>
        </w:tc>
      </w:tr>
      <w:tr w:rsidR="003E111E" w:rsidRPr="00AC23B7" w:rsidTr="00AF367C">
        <w:trPr>
          <w:trHeight w:val="103"/>
        </w:trPr>
        <w:tc>
          <w:tcPr>
            <w:tcW w:w="1961" w:type="dxa"/>
          </w:tcPr>
          <w:p w:rsidR="003E111E" w:rsidRPr="0002018A" w:rsidRDefault="003E111E" w:rsidP="00AF367C">
            <w:pPr>
              <w:rPr>
                <w:rStyle w:val="tablecell"/>
              </w:rPr>
            </w:pPr>
            <w:r w:rsidRPr="0002018A">
              <w:rPr>
                <w:rStyle w:val="tablecell"/>
              </w:rPr>
              <w:t>Maintenance</w:t>
            </w:r>
          </w:p>
        </w:tc>
        <w:tc>
          <w:tcPr>
            <w:tcW w:w="4495" w:type="dxa"/>
            <w:shd w:val="clear" w:color="auto" w:fill="auto"/>
          </w:tcPr>
          <w:p w:rsidR="003E111E" w:rsidRPr="0002018A" w:rsidRDefault="003E111E" w:rsidP="00AF367C">
            <w:pPr>
              <w:rPr>
                <w:rStyle w:val="tablecell"/>
              </w:rPr>
            </w:pPr>
          </w:p>
        </w:tc>
        <w:tc>
          <w:tcPr>
            <w:tcW w:w="2022" w:type="dxa"/>
            <w:shd w:val="clear" w:color="auto" w:fill="auto"/>
          </w:tcPr>
          <w:p w:rsidR="003E111E" w:rsidRPr="0002018A" w:rsidRDefault="003E111E" w:rsidP="00AF367C">
            <w:pPr>
              <w:rPr>
                <w:rStyle w:val="tablecell"/>
              </w:rPr>
            </w:pPr>
          </w:p>
        </w:tc>
      </w:tr>
    </w:tbl>
    <w:p w:rsidR="003E111E" w:rsidRDefault="003E111E" w:rsidP="003E111E">
      <w:pPr>
        <w:rPr>
          <w:rStyle w:val="StyleLatinGeorgia10ptBold"/>
        </w:rPr>
      </w:pPr>
    </w:p>
    <w:p w:rsidR="003E111E" w:rsidRPr="00DC316D" w:rsidRDefault="003E111E" w:rsidP="003E111E">
      <w:pPr>
        <w:rPr>
          <w:rStyle w:val="StyleLatinGeorgia10pt"/>
        </w:rPr>
      </w:pPr>
      <w:r>
        <w:rPr>
          <w:rStyle w:val="StyleLatinGeorgia10ptBold"/>
        </w:rPr>
        <w:br w:type="page"/>
      </w:r>
      <w:r>
        <w:rPr>
          <w:noProof/>
        </w:rPr>
        <w:lastRenderedPageBreak/>
        <w:drawing>
          <wp:inline distT="0" distB="0" distL="0" distR="0">
            <wp:extent cx="5431790" cy="7199630"/>
            <wp:effectExtent l="0" t="0" r="0" b="1270"/>
            <wp:docPr id="1" name="Picture 1" descr="VA Initiate Quota Pound 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 Initiate Quota Pound Transf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1790" cy="7199630"/>
                    </a:xfrm>
                    <a:prstGeom prst="rect">
                      <a:avLst/>
                    </a:prstGeom>
                    <a:noFill/>
                    <a:ln>
                      <a:noFill/>
                    </a:ln>
                  </pic:spPr>
                </pic:pic>
              </a:graphicData>
            </a:graphic>
          </wp:inline>
        </w:drawing>
      </w:r>
    </w:p>
    <w:p w:rsidR="00E84410" w:rsidRDefault="00DF31D6"/>
    <w:sectPr w:rsidR="00E84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FB4"/>
    <w:multiLevelType w:val="hybridMultilevel"/>
    <w:tmpl w:val="84681BA2"/>
    <w:lvl w:ilvl="0" w:tplc="CDA25038">
      <w:start w:val="1"/>
      <w:numFmt w:val="lowerLetter"/>
      <w:lvlText w:val="%1."/>
      <w:lvlJc w:val="left"/>
      <w:pPr>
        <w:ind w:left="720" w:hanging="360"/>
      </w:pPr>
      <w:rPr>
        <w:rFonts w:ascii="Calibri" w:eastAsia="Calibri" w:hAnsi="Calibri" w:cs="Tahoma"/>
      </w:rPr>
    </w:lvl>
    <w:lvl w:ilvl="1" w:tplc="0409001B">
      <w:start w:val="1"/>
      <w:numFmt w:val="lowerRoman"/>
      <w:lvlText w:val="%2."/>
      <w:lvlJc w:val="right"/>
      <w:pPr>
        <w:ind w:left="1440" w:hanging="360"/>
      </w:pPr>
    </w:lvl>
    <w:lvl w:ilvl="2" w:tplc="B4A83C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8385F"/>
    <w:multiLevelType w:val="multilevel"/>
    <w:tmpl w:val="80107A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3F502B3F"/>
    <w:multiLevelType w:val="hybridMultilevel"/>
    <w:tmpl w:val="AA261D30"/>
    <w:lvl w:ilvl="0" w:tplc="E64ED1A6">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F5446A"/>
    <w:multiLevelType w:val="hybridMultilevel"/>
    <w:tmpl w:val="D7E2B63A"/>
    <w:lvl w:ilvl="0" w:tplc="E64ED1A6">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DA5619"/>
    <w:multiLevelType w:val="hybridMultilevel"/>
    <w:tmpl w:val="F738A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B30E48"/>
    <w:multiLevelType w:val="hybridMultilevel"/>
    <w:tmpl w:val="D6A88EF8"/>
    <w:lvl w:ilvl="0" w:tplc="0409000F">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1E"/>
    <w:rsid w:val="003D7CA8"/>
    <w:rsid w:val="003E111E"/>
    <w:rsid w:val="004332ED"/>
    <w:rsid w:val="00DF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1E"/>
    <w:rPr>
      <w:rFonts w:ascii="Calibri" w:eastAsia="Calibri" w:hAnsi="Calibri" w:cs="Tahoma"/>
      <w:szCs w:val="18"/>
    </w:rPr>
  </w:style>
  <w:style w:type="paragraph" w:styleId="Heading1">
    <w:name w:val="heading 1"/>
    <w:basedOn w:val="Normal"/>
    <w:next w:val="Normal"/>
    <w:link w:val="Heading1Char"/>
    <w:uiPriority w:val="9"/>
    <w:qFormat/>
    <w:rsid w:val="003E111E"/>
    <w:pPr>
      <w:keepNext/>
      <w:keepLines/>
      <w:spacing w:before="12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11E"/>
    <w:rPr>
      <w:rFonts w:ascii="Cambria" w:eastAsia="Times New Roman" w:hAnsi="Cambria" w:cs="Times New Roman"/>
      <w:b/>
      <w:bCs/>
      <w:color w:val="365F91"/>
      <w:sz w:val="28"/>
      <w:szCs w:val="28"/>
    </w:rPr>
  </w:style>
  <w:style w:type="character" w:styleId="CommentReference">
    <w:name w:val="annotation reference"/>
    <w:rsid w:val="003E111E"/>
    <w:rPr>
      <w:sz w:val="16"/>
      <w:szCs w:val="16"/>
    </w:rPr>
  </w:style>
  <w:style w:type="paragraph" w:styleId="CommentText">
    <w:name w:val="annotation text"/>
    <w:basedOn w:val="Normal"/>
    <w:link w:val="CommentTextChar"/>
    <w:rsid w:val="003E111E"/>
    <w:rPr>
      <w:rFonts w:eastAsia="Times New Roman" w:cs="Times New Roman"/>
      <w:sz w:val="20"/>
      <w:szCs w:val="20"/>
    </w:rPr>
  </w:style>
  <w:style w:type="character" w:customStyle="1" w:styleId="CommentTextChar">
    <w:name w:val="Comment Text Char"/>
    <w:basedOn w:val="DefaultParagraphFont"/>
    <w:link w:val="CommentText"/>
    <w:rsid w:val="003E111E"/>
    <w:rPr>
      <w:rFonts w:ascii="Calibri" w:eastAsia="Times New Roman" w:hAnsi="Calibri" w:cs="Times New Roman"/>
      <w:sz w:val="20"/>
      <w:szCs w:val="20"/>
    </w:rPr>
  </w:style>
  <w:style w:type="character" w:styleId="Hyperlink">
    <w:name w:val="Hyperlink"/>
    <w:uiPriority w:val="99"/>
    <w:unhideWhenUsed/>
    <w:rsid w:val="003E111E"/>
    <w:rPr>
      <w:color w:val="0000FF"/>
      <w:u w:val="single"/>
    </w:rPr>
  </w:style>
  <w:style w:type="character" w:customStyle="1" w:styleId="bold">
    <w:name w:val="bold"/>
    <w:uiPriority w:val="1"/>
    <w:qFormat/>
    <w:rsid w:val="003E111E"/>
    <w:rPr>
      <w:rFonts w:ascii="Calibri" w:hAnsi="Calibri"/>
      <w:b/>
      <w:color w:val="000000"/>
      <w:sz w:val="22"/>
    </w:rPr>
  </w:style>
  <w:style w:type="paragraph" w:customStyle="1" w:styleId="H1sdm">
    <w:name w:val="H1 sdm"/>
    <w:basedOn w:val="Normal"/>
    <w:qFormat/>
    <w:rsid w:val="003E111E"/>
    <w:pPr>
      <w:shd w:val="clear" w:color="auto" w:fill="1F497D"/>
      <w:spacing w:after="240" w:line="240" w:lineRule="auto"/>
    </w:pPr>
    <w:rPr>
      <w:b/>
      <w:smallCaps/>
      <w:shadow/>
      <w:color w:val="FFFFFF"/>
      <w:sz w:val="36"/>
    </w:rPr>
  </w:style>
  <w:style w:type="character" w:customStyle="1" w:styleId="StyleLatinGeorgia10ptBold">
    <w:name w:val="Style (Latin) Georgia 10 pt Bold"/>
    <w:rsid w:val="003E111E"/>
    <w:rPr>
      <w:rFonts w:ascii="Calibri" w:hAnsi="Calibri"/>
      <w:b/>
      <w:bCs/>
      <w:sz w:val="22"/>
    </w:rPr>
  </w:style>
  <w:style w:type="character" w:customStyle="1" w:styleId="StyleLatinGeorgia10pt">
    <w:name w:val="Style (Latin) Georgia 10 pt"/>
    <w:rsid w:val="003E111E"/>
    <w:rPr>
      <w:rFonts w:ascii="Calibri" w:hAnsi="Calibri"/>
      <w:sz w:val="22"/>
    </w:rPr>
  </w:style>
  <w:style w:type="character" w:customStyle="1" w:styleId="tablecell">
    <w:name w:val="table cell"/>
    <w:uiPriority w:val="1"/>
    <w:qFormat/>
    <w:rsid w:val="003E111E"/>
    <w:rPr>
      <w:rFonts w:ascii="Calibri" w:eastAsia="Calibri" w:hAnsi="Calibri"/>
      <w:sz w:val="18"/>
    </w:rPr>
  </w:style>
  <w:style w:type="paragraph" w:styleId="BalloonText">
    <w:name w:val="Balloon Text"/>
    <w:basedOn w:val="Normal"/>
    <w:link w:val="BalloonTextChar"/>
    <w:uiPriority w:val="99"/>
    <w:semiHidden/>
    <w:unhideWhenUsed/>
    <w:rsid w:val="003E11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E11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1E"/>
    <w:rPr>
      <w:rFonts w:ascii="Calibri" w:eastAsia="Calibri" w:hAnsi="Calibri" w:cs="Tahoma"/>
      <w:szCs w:val="18"/>
    </w:rPr>
  </w:style>
  <w:style w:type="paragraph" w:styleId="Heading1">
    <w:name w:val="heading 1"/>
    <w:basedOn w:val="Normal"/>
    <w:next w:val="Normal"/>
    <w:link w:val="Heading1Char"/>
    <w:uiPriority w:val="9"/>
    <w:qFormat/>
    <w:rsid w:val="003E111E"/>
    <w:pPr>
      <w:keepNext/>
      <w:keepLines/>
      <w:spacing w:before="12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11E"/>
    <w:rPr>
      <w:rFonts w:ascii="Cambria" w:eastAsia="Times New Roman" w:hAnsi="Cambria" w:cs="Times New Roman"/>
      <w:b/>
      <w:bCs/>
      <w:color w:val="365F91"/>
      <w:sz w:val="28"/>
      <w:szCs w:val="28"/>
    </w:rPr>
  </w:style>
  <w:style w:type="character" w:styleId="CommentReference">
    <w:name w:val="annotation reference"/>
    <w:rsid w:val="003E111E"/>
    <w:rPr>
      <w:sz w:val="16"/>
      <w:szCs w:val="16"/>
    </w:rPr>
  </w:style>
  <w:style w:type="paragraph" w:styleId="CommentText">
    <w:name w:val="annotation text"/>
    <w:basedOn w:val="Normal"/>
    <w:link w:val="CommentTextChar"/>
    <w:rsid w:val="003E111E"/>
    <w:rPr>
      <w:rFonts w:eastAsia="Times New Roman" w:cs="Times New Roman"/>
      <w:sz w:val="20"/>
      <w:szCs w:val="20"/>
    </w:rPr>
  </w:style>
  <w:style w:type="character" w:customStyle="1" w:styleId="CommentTextChar">
    <w:name w:val="Comment Text Char"/>
    <w:basedOn w:val="DefaultParagraphFont"/>
    <w:link w:val="CommentText"/>
    <w:rsid w:val="003E111E"/>
    <w:rPr>
      <w:rFonts w:ascii="Calibri" w:eastAsia="Times New Roman" w:hAnsi="Calibri" w:cs="Times New Roman"/>
      <w:sz w:val="20"/>
      <w:szCs w:val="20"/>
    </w:rPr>
  </w:style>
  <w:style w:type="character" w:styleId="Hyperlink">
    <w:name w:val="Hyperlink"/>
    <w:uiPriority w:val="99"/>
    <w:unhideWhenUsed/>
    <w:rsid w:val="003E111E"/>
    <w:rPr>
      <w:color w:val="0000FF"/>
      <w:u w:val="single"/>
    </w:rPr>
  </w:style>
  <w:style w:type="character" w:customStyle="1" w:styleId="bold">
    <w:name w:val="bold"/>
    <w:uiPriority w:val="1"/>
    <w:qFormat/>
    <w:rsid w:val="003E111E"/>
    <w:rPr>
      <w:rFonts w:ascii="Calibri" w:hAnsi="Calibri"/>
      <w:b/>
      <w:color w:val="000000"/>
      <w:sz w:val="22"/>
    </w:rPr>
  </w:style>
  <w:style w:type="paragraph" w:customStyle="1" w:styleId="H1sdm">
    <w:name w:val="H1 sdm"/>
    <w:basedOn w:val="Normal"/>
    <w:qFormat/>
    <w:rsid w:val="003E111E"/>
    <w:pPr>
      <w:shd w:val="clear" w:color="auto" w:fill="1F497D"/>
      <w:spacing w:after="240" w:line="240" w:lineRule="auto"/>
    </w:pPr>
    <w:rPr>
      <w:b/>
      <w:smallCaps/>
      <w:shadow/>
      <w:color w:val="FFFFFF"/>
      <w:sz w:val="36"/>
    </w:rPr>
  </w:style>
  <w:style w:type="character" w:customStyle="1" w:styleId="StyleLatinGeorgia10ptBold">
    <w:name w:val="Style (Latin) Georgia 10 pt Bold"/>
    <w:rsid w:val="003E111E"/>
    <w:rPr>
      <w:rFonts w:ascii="Calibri" w:hAnsi="Calibri"/>
      <w:b/>
      <w:bCs/>
      <w:sz w:val="22"/>
    </w:rPr>
  </w:style>
  <w:style w:type="character" w:customStyle="1" w:styleId="StyleLatinGeorgia10pt">
    <w:name w:val="Style (Latin) Georgia 10 pt"/>
    <w:rsid w:val="003E111E"/>
    <w:rPr>
      <w:rFonts w:ascii="Calibri" w:hAnsi="Calibri"/>
      <w:sz w:val="22"/>
    </w:rPr>
  </w:style>
  <w:style w:type="character" w:customStyle="1" w:styleId="tablecell">
    <w:name w:val="table cell"/>
    <w:uiPriority w:val="1"/>
    <w:qFormat/>
    <w:rsid w:val="003E111E"/>
    <w:rPr>
      <w:rFonts w:ascii="Calibri" w:eastAsia="Calibri" w:hAnsi="Calibri"/>
      <w:sz w:val="18"/>
    </w:rPr>
  </w:style>
  <w:style w:type="paragraph" w:styleId="BalloonText">
    <w:name w:val="Balloon Text"/>
    <w:basedOn w:val="Normal"/>
    <w:link w:val="BalloonTextChar"/>
    <w:uiPriority w:val="99"/>
    <w:semiHidden/>
    <w:unhideWhenUsed/>
    <w:rsid w:val="003E11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E11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s.nwfsc.noaa.gov/content/dav/nwfsc/workspaces/TIQ%20QPQS%20DATABASE/NWR%20TIQ/Requirements/Local%20Settings/Local%20Settings/Sources/AUG_13_10_QS_VESSEL_ACCOUNT_RULES.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Cowen, Jeff</dc:creator>
  <cp:lastModifiedBy>Cowen, Jeff</cp:lastModifiedBy>
  <cp:revision>2</cp:revision>
  <dcterms:created xsi:type="dcterms:W3CDTF">2013-06-21T18:55:00Z</dcterms:created>
  <dcterms:modified xsi:type="dcterms:W3CDTF">2014-05-22T16:44:00Z</dcterms:modified>
</cp:coreProperties>
</file>