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4" w:rsidRPr="009F60EF" w:rsidRDefault="00DF3EE0" w:rsidP="009C7184">
      <w:pPr>
        <w:pStyle w:val="H1sdm"/>
        <w:pageBreakBefore/>
      </w:pPr>
      <w:r>
        <w:t>Quota Share Accounts</w:t>
      </w:r>
    </w:p>
    <w:p w:rsidR="009C7184" w:rsidRDefault="009C7184" w:rsidP="009C7184">
      <w:pPr>
        <w:pStyle w:val="Heading1"/>
      </w:pPr>
      <w:bookmarkStart w:id="0" w:name="_Ref275180987"/>
      <w:bookmarkStart w:id="1" w:name="_Toc275182415"/>
      <w:bookmarkStart w:id="2" w:name="_Toc275182448"/>
      <w:bookmarkStart w:id="3" w:name="_Toc275182480"/>
      <w:bookmarkStart w:id="4" w:name="_Toc198183952"/>
      <w:bookmarkStart w:id="5" w:name="_Toc333407941"/>
      <w:r w:rsidRPr="00CA7625">
        <w:t>Use Case</w:t>
      </w:r>
      <w:r>
        <w:t xml:space="preserve">: </w:t>
      </w:r>
      <w:bookmarkEnd w:id="0"/>
      <w:bookmarkEnd w:id="1"/>
      <w:bookmarkEnd w:id="2"/>
      <w:bookmarkEnd w:id="3"/>
      <w:bookmarkEnd w:id="4"/>
      <w:bookmarkEnd w:id="5"/>
      <w:r w:rsidR="00D474C5">
        <w:t>Initiate QS Transfer</w:t>
      </w:r>
    </w:p>
    <w:p w:rsidR="009C7184" w:rsidRPr="001845FB" w:rsidRDefault="00FA3041" w:rsidP="009C7184">
      <w:r>
        <w:pict>
          <v:rect id="_x0000_i1025" style="width:0;height:1.5pt" o:hralign="center" o:hrstd="t" o:hr="t" fillcolor="gray" stroked="f"/>
        </w:pict>
      </w:r>
    </w:p>
    <w:p w:rsidR="009C7184" w:rsidRPr="00F4794F" w:rsidRDefault="009C7184" w:rsidP="009C7184">
      <w:pPr>
        <w:spacing w:before="360"/>
      </w:pPr>
      <w:r w:rsidRPr="00F4794F">
        <w:rPr>
          <w:b/>
        </w:rPr>
        <w:t>Scope</w:t>
      </w:r>
      <w:r w:rsidRPr="00F4794F">
        <w:t xml:space="preserve">: </w:t>
      </w:r>
      <w:r w:rsidR="00DF3EE0">
        <w:t>IFQ Account Application</w:t>
      </w:r>
    </w:p>
    <w:p w:rsidR="009C7184" w:rsidRPr="00F4794F" w:rsidRDefault="009C7184" w:rsidP="00744066">
      <w:pPr>
        <w:tabs>
          <w:tab w:val="right" w:pos="7560"/>
        </w:tabs>
        <w:rPr>
          <w:szCs w:val="20"/>
        </w:rPr>
      </w:pPr>
      <w:r w:rsidRPr="00F4794F">
        <w:rPr>
          <w:b/>
          <w:szCs w:val="20"/>
        </w:rPr>
        <w:t>Level</w:t>
      </w:r>
      <w:r w:rsidRPr="00F4794F">
        <w:rPr>
          <w:szCs w:val="20"/>
        </w:rPr>
        <w:t>:</w:t>
      </w:r>
      <w:r>
        <w:rPr>
          <w:szCs w:val="20"/>
        </w:rPr>
        <w:tab/>
      </w:r>
      <w:r w:rsidR="00744066">
        <w:rPr>
          <w:szCs w:val="20"/>
        </w:rPr>
        <w:t xml:space="preserve"> </w:t>
      </w:r>
      <w:r w:rsidRPr="00F4794F">
        <w:rPr>
          <w:b/>
          <w:szCs w:val="20"/>
        </w:rPr>
        <w:t>Primary Actor</w:t>
      </w:r>
      <w:r w:rsidRPr="00F4794F">
        <w:rPr>
          <w:szCs w:val="20"/>
        </w:rPr>
        <w:t xml:space="preserve">: </w:t>
      </w:r>
      <w:r w:rsidR="00744066">
        <w:rPr>
          <w:szCs w:val="20"/>
        </w:rPr>
        <w:t>QS Account Owner</w:t>
      </w:r>
    </w:p>
    <w:p w:rsidR="009C7184" w:rsidRDefault="009C7184" w:rsidP="009C7184">
      <w:pPr>
        <w:tabs>
          <w:tab w:val="right" w:pos="6480"/>
        </w:tabs>
        <w:rPr>
          <w:b/>
          <w:szCs w:val="20"/>
        </w:rPr>
      </w:pPr>
      <w:r>
        <w:rPr>
          <w:b/>
          <w:szCs w:val="20"/>
        </w:rPr>
        <w:t>Use Case Phase</w:t>
      </w:r>
      <w:r w:rsidRPr="00F4794F">
        <w:rPr>
          <w:szCs w:val="20"/>
        </w:rPr>
        <w:t>:</w:t>
      </w:r>
      <w:r>
        <w:rPr>
          <w:szCs w:val="20"/>
        </w:rPr>
        <w:tab/>
      </w:r>
      <w:r w:rsidRPr="004810FD">
        <w:rPr>
          <w:b/>
          <w:szCs w:val="20"/>
        </w:rPr>
        <w:t>Updated</w:t>
      </w:r>
      <w:r>
        <w:rPr>
          <w:b/>
          <w:szCs w:val="20"/>
        </w:rPr>
        <w:t xml:space="preserve">: </w:t>
      </w:r>
      <w:r w:rsidR="005B2F2E">
        <w:rPr>
          <w:szCs w:val="20"/>
        </w:rPr>
        <w:t>08/09</w:t>
      </w:r>
      <w:r w:rsidRPr="00BD6122">
        <w:rPr>
          <w:szCs w:val="20"/>
        </w:rPr>
        <w:t>/20</w:t>
      </w:r>
      <w:r>
        <w:rPr>
          <w:szCs w:val="20"/>
        </w:rPr>
        <w:t>13</w:t>
      </w:r>
    </w:p>
    <w:p w:rsidR="009C7184" w:rsidRDefault="009C7184" w:rsidP="009C7184">
      <w:pPr>
        <w:rPr>
          <w:b/>
        </w:rPr>
      </w:pPr>
    </w:p>
    <w:p w:rsidR="009C7184" w:rsidRDefault="009C7184" w:rsidP="009C7184">
      <w:r>
        <w:rPr>
          <w:b/>
        </w:rPr>
        <w:t>Pre-conditions</w:t>
      </w:r>
      <w:r w:rsidRPr="00F4794F">
        <w:t>:</w:t>
      </w:r>
      <w:r>
        <w:t xml:space="preserve"> </w:t>
      </w:r>
      <w:r w:rsidR="00EE15AE">
        <w:t>User with QS account access has successfully logged on to QS account</w:t>
      </w:r>
      <w:r w:rsidR="00744066">
        <w:t xml:space="preserve">, and user has navigated to the </w:t>
      </w:r>
      <w:r w:rsidR="0035566A">
        <w:t>Initiate Transfer Page</w:t>
      </w:r>
      <w:r w:rsidR="00744066">
        <w:t>.</w:t>
      </w:r>
    </w:p>
    <w:p w:rsidR="009C7184" w:rsidRPr="00F4794F" w:rsidRDefault="009C7184" w:rsidP="009C7184">
      <w:pPr>
        <w:rPr>
          <w:szCs w:val="20"/>
        </w:rPr>
      </w:pPr>
      <w:r>
        <w:rPr>
          <w:b/>
          <w:szCs w:val="20"/>
        </w:rPr>
        <w:t>Post-conditions</w:t>
      </w:r>
      <w:r>
        <w:rPr>
          <w:szCs w:val="20"/>
        </w:rPr>
        <w:t xml:space="preserve">: </w:t>
      </w:r>
      <w:r w:rsidR="00184557">
        <w:rPr>
          <w:szCs w:val="20"/>
        </w:rPr>
        <w:t xml:space="preserve">The </w:t>
      </w:r>
      <w:r w:rsidR="00744066">
        <w:rPr>
          <w:szCs w:val="20"/>
        </w:rPr>
        <w:t xml:space="preserve">system </w:t>
      </w:r>
      <w:r w:rsidR="00D474C5">
        <w:rPr>
          <w:szCs w:val="20"/>
        </w:rPr>
        <w:t xml:space="preserve">validates that the transfer does not surpass the </w:t>
      </w:r>
      <w:r w:rsidR="00730752">
        <w:rPr>
          <w:szCs w:val="20"/>
        </w:rPr>
        <w:t>control limits for QS percentages</w:t>
      </w:r>
      <w:r w:rsidR="00184557">
        <w:rPr>
          <w:szCs w:val="20"/>
        </w:rPr>
        <w:t>.</w:t>
      </w:r>
      <w:r w:rsidR="00730752">
        <w:rPr>
          <w:szCs w:val="20"/>
        </w:rPr>
        <w:t xml:space="preserve"> The system generates a confirmation ID and messages that notify both parties of a pending QS transfer in their account. </w:t>
      </w:r>
    </w:p>
    <w:p w:rsidR="002975BF" w:rsidRDefault="009C7184" w:rsidP="009C7184">
      <w:r w:rsidRPr="00F4794F">
        <w:rPr>
          <w:b/>
          <w:szCs w:val="20"/>
        </w:rPr>
        <w:t>Basic Flow</w:t>
      </w:r>
      <w:r w:rsidRPr="00F4794F">
        <w:rPr>
          <w:szCs w:val="20"/>
        </w:rPr>
        <w:t>:</w:t>
      </w:r>
      <w:r>
        <w:t xml:space="preserve"> </w:t>
      </w:r>
    </w:p>
    <w:p w:rsidR="00926C64" w:rsidRDefault="00926C64" w:rsidP="00236DE2">
      <w:pPr>
        <w:pStyle w:val="ListParagraph"/>
        <w:numPr>
          <w:ilvl w:val="0"/>
          <w:numId w:val="1"/>
        </w:numPr>
      </w:pPr>
      <w:r>
        <w:t xml:space="preserve">User navigates to the </w:t>
      </w:r>
      <w:r w:rsidR="00730752">
        <w:t>Initiate QS Transfer</w:t>
      </w:r>
      <w:r>
        <w:t xml:space="preserve"> sub-tab.</w:t>
      </w:r>
    </w:p>
    <w:p w:rsidR="0041355F" w:rsidRDefault="00926C64" w:rsidP="00236DE2">
      <w:pPr>
        <w:pStyle w:val="ListParagraph"/>
        <w:numPr>
          <w:ilvl w:val="0"/>
          <w:numId w:val="1"/>
        </w:numPr>
      </w:pPr>
      <w:r>
        <w:t xml:space="preserve">System presents </w:t>
      </w:r>
      <w:r w:rsidR="005A16FE">
        <w:t xml:space="preserve">the </w:t>
      </w:r>
      <w:r w:rsidR="00730752">
        <w:t xml:space="preserve">available </w:t>
      </w:r>
      <w:r>
        <w:t xml:space="preserve">QS </w:t>
      </w:r>
      <w:r w:rsidR="005A16FE">
        <w:t xml:space="preserve">balance </w:t>
      </w:r>
      <w:r w:rsidR="00913925">
        <w:t xml:space="preserve">for all species, and provides a field for the </w:t>
      </w:r>
      <w:r w:rsidR="0041355F">
        <w:t>user to enter the QS% amount(s)</w:t>
      </w:r>
      <w:r w:rsidR="0035566A">
        <w:t xml:space="preserve"> and </w:t>
      </w:r>
      <w:r w:rsidR="0036250D">
        <w:t xml:space="preserve">QS </w:t>
      </w:r>
      <w:r w:rsidR="0035566A">
        <w:t xml:space="preserve">Price </w:t>
      </w:r>
      <w:r w:rsidR="0036250D">
        <w:t xml:space="preserve">(by species) </w:t>
      </w:r>
      <w:r w:rsidR="0041355F">
        <w:t xml:space="preserve">they wish to transfer. </w:t>
      </w:r>
    </w:p>
    <w:p w:rsidR="00926C64" w:rsidRDefault="0041355F" w:rsidP="00236DE2">
      <w:pPr>
        <w:pStyle w:val="ListParagraph"/>
        <w:numPr>
          <w:ilvl w:val="0"/>
          <w:numId w:val="1"/>
        </w:numPr>
      </w:pPr>
      <w:r>
        <w:t>User enters a QS% amount to transfer for one or more species</w:t>
      </w:r>
      <w:r w:rsidR="0036250D">
        <w:t>,</w:t>
      </w:r>
      <w:r w:rsidR="0035566A">
        <w:t xml:space="preserve"> and optionally enter</w:t>
      </w:r>
      <w:r w:rsidR="0036250D">
        <w:t>s</w:t>
      </w:r>
      <w:r w:rsidR="0035566A">
        <w:t xml:space="preserve"> </w:t>
      </w:r>
      <w:r w:rsidR="0036250D">
        <w:t xml:space="preserve">QS </w:t>
      </w:r>
      <w:r w:rsidR="0035566A">
        <w:t>Price</w:t>
      </w:r>
      <w:r>
        <w:t xml:space="preserve">. </w:t>
      </w:r>
    </w:p>
    <w:p w:rsidR="0041355F" w:rsidRDefault="0041355F" w:rsidP="00236DE2">
      <w:pPr>
        <w:pStyle w:val="ListParagraph"/>
        <w:numPr>
          <w:ilvl w:val="0"/>
          <w:numId w:val="1"/>
        </w:numPr>
      </w:pPr>
      <w:r>
        <w:t xml:space="preserve">User indicates the transfer type by selecting from the following options: </w:t>
      </w:r>
    </w:p>
    <w:p w:rsidR="0041355F" w:rsidRDefault="0041355F" w:rsidP="0041355F">
      <w:pPr>
        <w:pStyle w:val="ListParagraph"/>
        <w:numPr>
          <w:ilvl w:val="1"/>
          <w:numId w:val="1"/>
        </w:numPr>
      </w:pPr>
      <w:r>
        <w:t>Cash Sale</w:t>
      </w:r>
    </w:p>
    <w:p w:rsidR="0041355F" w:rsidRDefault="0041355F" w:rsidP="0041355F">
      <w:pPr>
        <w:pStyle w:val="ListParagraph"/>
        <w:numPr>
          <w:ilvl w:val="1"/>
          <w:numId w:val="1"/>
        </w:numPr>
      </w:pPr>
      <w:r>
        <w:t>Barter</w:t>
      </w:r>
      <w:r w:rsidR="0035566A">
        <w:t xml:space="preserve"> (Swap Quota Share for Quota Share)</w:t>
      </w:r>
    </w:p>
    <w:p w:rsidR="0041355F" w:rsidRDefault="0041355F" w:rsidP="0041355F">
      <w:pPr>
        <w:pStyle w:val="ListParagraph"/>
        <w:numPr>
          <w:ilvl w:val="1"/>
          <w:numId w:val="1"/>
        </w:numPr>
      </w:pPr>
      <w:r>
        <w:t>Cash and Barter</w:t>
      </w:r>
    </w:p>
    <w:p w:rsidR="0041355F" w:rsidRDefault="0041355F" w:rsidP="0041355F">
      <w:pPr>
        <w:pStyle w:val="ListParagraph"/>
        <w:numPr>
          <w:ilvl w:val="1"/>
          <w:numId w:val="1"/>
        </w:numPr>
      </w:pPr>
      <w:r>
        <w:t>Self-Trade</w:t>
      </w:r>
    </w:p>
    <w:p w:rsidR="0041355F" w:rsidRDefault="0041355F" w:rsidP="0041355F">
      <w:pPr>
        <w:pStyle w:val="ListParagraph"/>
        <w:numPr>
          <w:ilvl w:val="1"/>
          <w:numId w:val="1"/>
        </w:numPr>
      </w:pPr>
      <w:r>
        <w:t>Other</w:t>
      </w:r>
    </w:p>
    <w:p w:rsidR="0041355F" w:rsidRDefault="0041355F" w:rsidP="0041355F">
      <w:pPr>
        <w:pStyle w:val="ListParagraph"/>
        <w:numPr>
          <w:ilvl w:val="0"/>
          <w:numId w:val="1"/>
        </w:numPr>
      </w:pPr>
      <w:r>
        <w:t xml:space="preserve">User enters a value into the total monetary compensation box. System auto-adds a decimal point and zeroes for change if the user did not enter. </w:t>
      </w:r>
    </w:p>
    <w:p w:rsidR="00C16DF9" w:rsidRDefault="0041355F" w:rsidP="0041355F">
      <w:pPr>
        <w:pStyle w:val="ListParagraph"/>
        <w:numPr>
          <w:ilvl w:val="0"/>
          <w:numId w:val="1"/>
        </w:numPr>
      </w:pPr>
      <w:r>
        <w:t>User optionally describes non-monetary compensation for the transfer in a text box.</w:t>
      </w:r>
    </w:p>
    <w:p w:rsidR="0041355F" w:rsidRDefault="00C16DF9" w:rsidP="0041355F">
      <w:pPr>
        <w:pStyle w:val="ListParagraph"/>
        <w:numPr>
          <w:ilvl w:val="0"/>
          <w:numId w:val="1"/>
        </w:numPr>
      </w:pPr>
      <w:r>
        <w:t>User is provided a link to the QS Control Limits Table</w:t>
      </w:r>
      <w:r w:rsidR="00493DE3">
        <w:t xml:space="preserve">. </w:t>
      </w:r>
      <w:r w:rsidR="0041355F">
        <w:t xml:space="preserve"> </w:t>
      </w:r>
    </w:p>
    <w:p w:rsidR="00493DE3" w:rsidRDefault="0041355F" w:rsidP="00493DE3">
      <w:pPr>
        <w:pStyle w:val="ListParagraph"/>
        <w:numPr>
          <w:ilvl w:val="0"/>
          <w:numId w:val="1"/>
        </w:numPr>
      </w:pPr>
      <w:r>
        <w:t xml:space="preserve">User clicks “Find QS Owners”. </w:t>
      </w:r>
    </w:p>
    <w:p w:rsidR="0041355F" w:rsidRDefault="00DA4C39" w:rsidP="00493DE3">
      <w:pPr>
        <w:pStyle w:val="ListParagraph"/>
        <w:numPr>
          <w:ilvl w:val="0"/>
          <w:numId w:val="1"/>
        </w:numPr>
      </w:pPr>
      <w:r>
        <w:t>S</w:t>
      </w:r>
      <w:r w:rsidR="0041355F">
        <w:t xml:space="preserve">ystem </w:t>
      </w:r>
      <w:r>
        <w:t>displays</w:t>
      </w:r>
      <w:r w:rsidR="0041355F">
        <w:t xml:space="preserve"> a box </w:t>
      </w:r>
      <w:r>
        <w:t>listing</w:t>
      </w:r>
      <w:r w:rsidR="0041355F">
        <w:t xml:space="preserve"> all QS permit owners, with two columns: </w:t>
      </w:r>
    </w:p>
    <w:p w:rsidR="0041355F" w:rsidRDefault="0041355F" w:rsidP="0041355F">
      <w:pPr>
        <w:pStyle w:val="ListParagraph"/>
        <w:numPr>
          <w:ilvl w:val="1"/>
          <w:numId w:val="1"/>
        </w:numPr>
      </w:pPr>
      <w:r>
        <w:t xml:space="preserve">QS Permit Number </w:t>
      </w:r>
    </w:p>
    <w:p w:rsidR="0041355F" w:rsidRDefault="0041355F" w:rsidP="0041355F">
      <w:pPr>
        <w:pStyle w:val="ListParagraph"/>
        <w:numPr>
          <w:ilvl w:val="1"/>
          <w:numId w:val="1"/>
        </w:numPr>
      </w:pPr>
      <w:r>
        <w:t>QS Permit Owner</w:t>
      </w:r>
    </w:p>
    <w:p w:rsidR="00DA4C39" w:rsidRDefault="00DA4C39" w:rsidP="0041355F">
      <w:pPr>
        <w:pStyle w:val="ListParagraph"/>
        <w:numPr>
          <w:ilvl w:val="0"/>
          <w:numId w:val="1"/>
        </w:numPr>
      </w:pPr>
      <w:r>
        <w:t xml:space="preserve">User may search for QS permit owners by typing the QS permit number or QS permit owner name into the search box. </w:t>
      </w:r>
    </w:p>
    <w:p w:rsidR="0041355F" w:rsidRDefault="00DA4C39" w:rsidP="0041355F">
      <w:pPr>
        <w:pStyle w:val="ListParagraph"/>
        <w:numPr>
          <w:ilvl w:val="0"/>
          <w:numId w:val="1"/>
        </w:numPr>
      </w:pPr>
      <w:r>
        <w:lastRenderedPageBreak/>
        <w:t xml:space="preserve">User must select one QS permit owner to transfer to by clicking on the row with the intended recipient QS permit owner name. </w:t>
      </w:r>
    </w:p>
    <w:p w:rsidR="00DA4C39" w:rsidRDefault="00DA4C39" w:rsidP="0041355F">
      <w:pPr>
        <w:pStyle w:val="ListParagraph"/>
        <w:numPr>
          <w:ilvl w:val="0"/>
          <w:numId w:val="1"/>
        </w:numPr>
      </w:pPr>
      <w:r>
        <w:t>System auto-display</w:t>
      </w:r>
      <w:r w:rsidR="00E6004D">
        <w:t>s</w:t>
      </w:r>
      <w:r>
        <w:t xml:space="preserve"> a transfer expiration date of 14 days. </w:t>
      </w:r>
    </w:p>
    <w:p w:rsidR="00DA4C39" w:rsidRDefault="00DA4C39" w:rsidP="0041355F">
      <w:pPr>
        <w:pStyle w:val="ListParagraph"/>
        <w:numPr>
          <w:ilvl w:val="0"/>
          <w:numId w:val="1"/>
        </w:numPr>
      </w:pPr>
      <w:r>
        <w:t>User may edit the number of days in which the transfer will expire.</w:t>
      </w:r>
      <w:r w:rsidR="005A16FE">
        <w:t xml:space="preserve"> They may select a value between 1 and 14 days (expiration date may not be less than 1 day or greater than 14 days). </w:t>
      </w:r>
    </w:p>
    <w:p w:rsidR="00DA4C39" w:rsidRDefault="00DA4C39" w:rsidP="0041355F">
      <w:pPr>
        <w:pStyle w:val="ListParagraph"/>
        <w:numPr>
          <w:ilvl w:val="0"/>
          <w:numId w:val="1"/>
        </w:numPr>
      </w:pPr>
      <w:r>
        <w:t>User clicks “Next”.</w:t>
      </w:r>
    </w:p>
    <w:p w:rsidR="00DA4C39" w:rsidRDefault="00DA4C39" w:rsidP="0041355F">
      <w:pPr>
        <w:pStyle w:val="ListParagraph"/>
        <w:numPr>
          <w:ilvl w:val="0"/>
          <w:numId w:val="1"/>
        </w:numPr>
      </w:pPr>
      <w:r>
        <w:t>System displays Quota Share Transfer Notice</w:t>
      </w:r>
      <w:r w:rsidR="0078769C">
        <w:t xml:space="preserve"> window</w:t>
      </w:r>
      <w:r>
        <w:t xml:space="preserve">. This notice warns the user that the transfer of QS is permanent, and describes the process for future QP allocations based on the QS. </w:t>
      </w:r>
    </w:p>
    <w:p w:rsidR="00DA4C39" w:rsidRDefault="00DA4C39" w:rsidP="0041355F">
      <w:pPr>
        <w:pStyle w:val="ListParagraph"/>
        <w:numPr>
          <w:ilvl w:val="0"/>
          <w:numId w:val="1"/>
        </w:numPr>
      </w:pPr>
      <w:r>
        <w:t xml:space="preserve">User </w:t>
      </w:r>
      <w:r w:rsidR="00FE7650">
        <w:t xml:space="preserve">checks </w:t>
      </w:r>
      <w:r>
        <w:t xml:space="preserve">“I </w:t>
      </w:r>
      <w:r w:rsidR="00493DE3">
        <w:t>have read and understand the above notice</w:t>
      </w:r>
      <w:r>
        <w:t>”</w:t>
      </w:r>
      <w:r w:rsidR="00FE7650">
        <w:t xml:space="preserve"> and clicks </w:t>
      </w:r>
      <w:r w:rsidR="00493DE3">
        <w:t>“Next”</w:t>
      </w:r>
      <w:r>
        <w:t xml:space="preserve">. </w:t>
      </w:r>
    </w:p>
    <w:p w:rsidR="00842E24" w:rsidRDefault="00DA4C39" w:rsidP="0041355F">
      <w:pPr>
        <w:pStyle w:val="ListParagraph"/>
        <w:numPr>
          <w:ilvl w:val="0"/>
          <w:numId w:val="1"/>
        </w:numPr>
      </w:pPr>
      <w:r>
        <w:t>System displays</w:t>
      </w:r>
      <w:r w:rsidR="0078769C">
        <w:t xml:space="preserve"> Quota Share Transfer Review window. System displays</w:t>
      </w:r>
      <w:r w:rsidR="00842E24">
        <w:t xml:space="preserve">: </w:t>
      </w:r>
    </w:p>
    <w:p w:rsidR="00842E24" w:rsidRDefault="00842E24" w:rsidP="00842E24">
      <w:pPr>
        <w:pStyle w:val="ListParagraph"/>
        <w:numPr>
          <w:ilvl w:val="1"/>
          <w:numId w:val="1"/>
        </w:numPr>
      </w:pPr>
      <w:r>
        <w:t>Date</w:t>
      </w:r>
    </w:p>
    <w:p w:rsidR="00842E24" w:rsidRDefault="00842E24" w:rsidP="00842E24">
      <w:pPr>
        <w:pStyle w:val="ListParagraph"/>
        <w:numPr>
          <w:ilvl w:val="1"/>
          <w:numId w:val="1"/>
        </w:numPr>
      </w:pPr>
      <w:r>
        <w:t>From QS Owner</w:t>
      </w:r>
    </w:p>
    <w:p w:rsidR="00842E24" w:rsidRDefault="00842E24" w:rsidP="00842E24">
      <w:pPr>
        <w:pStyle w:val="ListParagraph"/>
        <w:numPr>
          <w:ilvl w:val="1"/>
          <w:numId w:val="1"/>
        </w:numPr>
      </w:pPr>
      <w:r>
        <w:t>To QS Owner</w:t>
      </w:r>
    </w:p>
    <w:p w:rsidR="00842E24" w:rsidRDefault="00842E24" w:rsidP="00842E24">
      <w:pPr>
        <w:pStyle w:val="ListParagraph"/>
        <w:numPr>
          <w:ilvl w:val="1"/>
          <w:numId w:val="1"/>
        </w:numPr>
      </w:pPr>
      <w:r>
        <w:t>Total Monetary Compensation</w:t>
      </w:r>
    </w:p>
    <w:p w:rsidR="00842E24" w:rsidRDefault="00842E24" w:rsidP="00842E24">
      <w:pPr>
        <w:pStyle w:val="ListParagraph"/>
        <w:numPr>
          <w:ilvl w:val="1"/>
          <w:numId w:val="1"/>
        </w:numPr>
      </w:pPr>
      <w:r>
        <w:t>Days to Expire</w:t>
      </w:r>
    </w:p>
    <w:p w:rsidR="00842E24" w:rsidRDefault="00842E24" w:rsidP="00842E24">
      <w:pPr>
        <w:pStyle w:val="ListParagraph"/>
        <w:numPr>
          <w:ilvl w:val="1"/>
          <w:numId w:val="1"/>
        </w:numPr>
      </w:pPr>
      <w:r>
        <w:t xml:space="preserve">A table with IFQ species, Available QS%, Transfer QS% and </w:t>
      </w:r>
      <w:r w:rsidR="003447C3">
        <w:t xml:space="preserve">QS </w:t>
      </w:r>
      <w:r>
        <w:t xml:space="preserve">Price for each IFQ species in the transaction </w:t>
      </w:r>
      <w:r w:rsidR="0078769C">
        <w:t xml:space="preserve"> </w:t>
      </w:r>
    </w:p>
    <w:p w:rsidR="00842E24" w:rsidRDefault="00842E24" w:rsidP="00842E24">
      <w:pPr>
        <w:pStyle w:val="ListParagraph"/>
        <w:numPr>
          <w:ilvl w:val="1"/>
          <w:numId w:val="1"/>
        </w:numPr>
      </w:pPr>
      <w:r>
        <w:t>Notes</w:t>
      </w:r>
    </w:p>
    <w:p w:rsidR="00DA4C39" w:rsidRDefault="0078769C" w:rsidP="00842E24">
      <w:pPr>
        <w:pStyle w:val="ListParagraph"/>
        <w:numPr>
          <w:ilvl w:val="1"/>
          <w:numId w:val="1"/>
        </w:numPr>
      </w:pPr>
      <w:r>
        <w:t xml:space="preserve">Paperwork Reduction Act (PRA) information and </w:t>
      </w:r>
      <w:r w:rsidR="00842E24">
        <w:t>warnings</w:t>
      </w:r>
    </w:p>
    <w:p w:rsidR="00842E24" w:rsidRDefault="00842E24" w:rsidP="00842E24">
      <w:pPr>
        <w:pStyle w:val="ListParagraph"/>
        <w:numPr>
          <w:ilvl w:val="0"/>
          <w:numId w:val="1"/>
        </w:numPr>
      </w:pPr>
      <w:r>
        <w:t xml:space="preserve">User clicks “Confirm”. </w:t>
      </w:r>
    </w:p>
    <w:p w:rsidR="00842E24" w:rsidRPr="00842E24" w:rsidRDefault="00842E24" w:rsidP="00842E24">
      <w:pPr>
        <w:pStyle w:val="ListParagraph"/>
        <w:numPr>
          <w:ilvl w:val="0"/>
          <w:numId w:val="1"/>
        </w:numPr>
      </w:pPr>
      <w:r>
        <w:t xml:space="preserve">System validates </w:t>
      </w:r>
      <w:r>
        <w:rPr>
          <w:szCs w:val="20"/>
        </w:rPr>
        <w:t xml:space="preserve">that the transfer does not surpass the </w:t>
      </w:r>
      <w:r w:rsidR="009C31B6">
        <w:rPr>
          <w:szCs w:val="20"/>
        </w:rPr>
        <w:t xml:space="preserve">QS </w:t>
      </w:r>
      <w:r>
        <w:rPr>
          <w:szCs w:val="20"/>
        </w:rPr>
        <w:t xml:space="preserve">control limits for the recipient’s QS account. </w:t>
      </w:r>
    </w:p>
    <w:p w:rsidR="00842E24" w:rsidRDefault="00842E24" w:rsidP="00842E24">
      <w:pPr>
        <w:pStyle w:val="ListParagraph"/>
        <w:numPr>
          <w:ilvl w:val="0"/>
          <w:numId w:val="1"/>
        </w:numPr>
      </w:pPr>
      <w:r>
        <w:t xml:space="preserve">System displays Quota Share Transfer Confirmation window. </w:t>
      </w:r>
    </w:p>
    <w:p w:rsidR="00E6004D" w:rsidRDefault="00E6004D" w:rsidP="00842E24">
      <w:pPr>
        <w:pStyle w:val="ListParagraph"/>
        <w:numPr>
          <w:ilvl w:val="0"/>
          <w:numId w:val="1"/>
        </w:numPr>
      </w:pPr>
      <w:r>
        <w:t xml:space="preserve">User clicks “Close” or “Print”. </w:t>
      </w:r>
    </w:p>
    <w:p w:rsidR="00E6004D" w:rsidRPr="0041355F" w:rsidRDefault="00E6004D" w:rsidP="00842E24">
      <w:pPr>
        <w:pStyle w:val="ListParagraph"/>
        <w:numPr>
          <w:ilvl w:val="0"/>
          <w:numId w:val="1"/>
        </w:numPr>
      </w:pPr>
      <w:r>
        <w:t xml:space="preserve">If user clicks “Print” on Quota Share Transfer Confirmation window, a PDF will be auto-generated with the details of the transaction. </w:t>
      </w:r>
    </w:p>
    <w:p w:rsidR="003F5D41" w:rsidRDefault="0041355F" w:rsidP="0041355F">
      <w:pPr>
        <w:spacing w:after="0"/>
        <w:rPr>
          <w:b/>
        </w:rPr>
      </w:pPr>
      <w:r w:rsidRPr="0041355F">
        <w:rPr>
          <w:b/>
        </w:rPr>
        <w:t>Alternative Flow</w:t>
      </w:r>
    </w:p>
    <w:p w:rsidR="0041355F" w:rsidRDefault="0041355F" w:rsidP="0041355F">
      <w:pPr>
        <w:pStyle w:val="ListParagraph"/>
        <w:numPr>
          <w:ilvl w:val="0"/>
          <w:numId w:val="5"/>
        </w:numPr>
        <w:spacing w:after="0"/>
      </w:pPr>
      <w:r>
        <w:t xml:space="preserve">User does not enter </w:t>
      </w:r>
      <w:r w:rsidR="00FE7650">
        <w:t>a percent</w:t>
      </w:r>
      <w:r>
        <w:t xml:space="preserve"> to transfer – </w:t>
      </w:r>
      <w:r w:rsidR="00FE7650">
        <w:t>user is warned to enter an amount to transfer when they search for QS accounts</w:t>
      </w:r>
      <w:r>
        <w:t xml:space="preserve">. </w:t>
      </w:r>
    </w:p>
    <w:p w:rsidR="0041355F" w:rsidRDefault="0041355F" w:rsidP="0041355F">
      <w:pPr>
        <w:pStyle w:val="ListParagraph"/>
        <w:numPr>
          <w:ilvl w:val="0"/>
          <w:numId w:val="5"/>
        </w:numPr>
        <w:spacing w:after="0"/>
      </w:pPr>
      <w:r>
        <w:t xml:space="preserve">User enters an amount that is greater than the amount available for transfers – </w:t>
      </w:r>
      <w:r w:rsidR="003D7F19">
        <w:t>user is warned to enter an amount less than or equal to available QS percent when they search for QS accounts</w:t>
      </w:r>
      <w:r>
        <w:t xml:space="preserve">. </w:t>
      </w:r>
    </w:p>
    <w:p w:rsidR="0041355F" w:rsidRDefault="0041355F" w:rsidP="0041355F">
      <w:pPr>
        <w:pStyle w:val="ListParagraph"/>
        <w:numPr>
          <w:ilvl w:val="0"/>
          <w:numId w:val="5"/>
        </w:numPr>
        <w:spacing w:after="0"/>
      </w:pPr>
      <w:r>
        <w:t xml:space="preserve">User does not select a transfer type – </w:t>
      </w:r>
      <w:r w:rsidR="003D7F19">
        <w:t>user is warned to enter a transfer type when they search for QS accounts</w:t>
      </w:r>
      <w:r>
        <w:t xml:space="preserve">. </w:t>
      </w:r>
    </w:p>
    <w:p w:rsidR="0041355F" w:rsidRDefault="0041355F" w:rsidP="0041355F">
      <w:pPr>
        <w:pStyle w:val="ListParagraph"/>
        <w:numPr>
          <w:ilvl w:val="0"/>
          <w:numId w:val="5"/>
        </w:numPr>
        <w:spacing w:after="0"/>
      </w:pPr>
      <w:r>
        <w:t xml:space="preserve">User does not enter a </w:t>
      </w:r>
      <w:r w:rsidR="00713018">
        <w:t>total monetary transaction</w:t>
      </w:r>
      <w:r>
        <w:t xml:space="preserve"> amount – </w:t>
      </w:r>
      <w:r w:rsidR="003D7F19">
        <w:t xml:space="preserve">user is warned to enter a </w:t>
      </w:r>
      <w:r w:rsidR="00713018">
        <w:t>total monetary transaction</w:t>
      </w:r>
      <w:r w:rsidR="003D7F19">
        <w:t xml:space="preserve"> amount when they search for QS accounts</w:t>
      </w:r>
      <w:r>
        <w:t xml:space="preserve">. </w:t>
      </w:r>
    </w:p>
    <w:p w:rsidR="0041355F" w:rsidRDefault="0041355F" w:rsidP="0041355F">
      <w:pPr>
        <w:pStyle w:val="ListParagraph"/>
        <w:numPr>
          <w:ilvl w:val="0"/>
          <w:numId w:val="5"/>
        </w:numPr>
        <w:spacing w:after="0"/>
      </w:pPr>
      <w:r>
        <w:t xml:space="preserve">User does not select a QS account to transfer to – </w:t>
      </w:r>
      <w:r w:rsidR="003D7F19">
        <w:t>user cannot continue through the transfer process</w:t>
      </w:r>
      <w:r>
        <w:t xml:space="preserve">. </w:t>
      </w:r>
    </w:p>
    <w:p w:rsidR="00DA4C39" w:rsidRDefault="00DA4C39" w:rsidP="0041355F">
      <w:pPr>
        <w:pStyle w:val="ListParagraph"/>
        <w:numPr>
          <w:ilvl w:val="0"/>
          <w:numId w:val="5"/>
        </w:numPr>
        <w:spacing w:after="0"/>
      </w:pPr>
      <w:r>
        <w:t>User enters a transfer expiration date of</w:t>
      </w:r>
      <w:r w:rsidR="003D7F19">
        <w:t xml:space="preserve"> less than 1 or</w:t>
      </w:r>
      <w:r>
        <w:t xml:space="preserve"> greater than 14 days – </w:t>
      </w:r>
      <w:r w:rsidR="003D7F19">
        <w:t>user is warned that the days of expiration must be between 1 and 14</w:t>
      </w:r>
      <w:r>
        <w:t xml:space="preserve">. </w:t>
      </w:r>
    </w:p>
    <w:p w:rsidR="00DA4C39" w:rsidRDefault="00DA4C39" w:rsidP="0041355F">
      <w:pPr>
        <w:pStyle w:val="ListParagraph"/>
        <w:numPr>
          <w:ilvl w:val="0"/>
          <w:numId w:val="5"/>
        </w:numPr>
        <w:spacing w:after="0"/>
      </w:pPr>
      <w:r>
        <w:lastRenderedPageBreak/>
        <w:t xml:space="preserve">User navigates to another screen or clicks “Cancel” on any pop-up window – </w:t>
      </w:r>
      <w:r w:rsidR="003D7F19">
        <w:t>transfer is not completed</w:t>
      </w:r>
      <w:r>
        <w:t xml:space="preserve">. </w:t>
      </w:r>
    </w:p>
    <w:p w:rsidR="00CE6A43" w:rsidRDefault="00842E24" w:rsidP="000E3C2D">
      <w:pPr>
        <w:pStyle w:val="ListParagraph"/>
        <w:numPr>
          <w:ilvl w:val="0"/>
          <w:numId w:val="5"/>
        </w:numPr>
        <w:spacing w:after="0"/>
      </w:pPr>
      <w:r>
        <w:t xml:space="preserve">User attempts to transfer an amount of QS that would put the recipient over the </w:t>
      </w:r>
      <w:r w:rsidR="009C31B6">
        <w:t xml:space="preserve">QS </w:t>
      </w:r>
      <w:r>
        <w:t>control limit</w:t>
      </w:r>
      <w:r w:rsidR="009C31B6">
        <w:t xml:space="preserve"> (for species) or non-whiting groundfish QS control limit (all non-whiting/halibut QS%) </w:t>
      </w:r>
      <w:r>
        <w:t xml:space="preserve">– </w:t>
      </w:r>
      <w:r w:rsidR="003D7F19">
        <w:t>transfer fails and user is provided a reason for the failure</w:t>
      </w:r>
      <w:r w:rsidR="00713018">
        <w:t>.</w:t>
      </w:r>
      <w:r>
        <w:t xml:space="preserve"> </w:t>
      </w:r>
    </w:p>
    <w:p w:rsidR="00713018" w:rsidRDefault="00713018" w:rsidP="00713018">
      <w:pPr>
        <w:pStyle w:val="ListParagraph"/>
        <w:spacing w:after="0"/>
      </w:pPr>
    </w:p>
    <w:p w:rsidR="00CE6A43" w:rsidRDefault="00CE6A43" w:rsidP="000E3C2D">
      <w:r>
        <w:t>QS Control Limits Table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4480"/>
        <w:gridCol w:w="1660"/>
      </w:tblGrid>
      <w:tr w:rsidR="00CE6A43" w:rsidRPr="00CE6A43" w:rsidTr="00CE6A43">
        <w:trPr>
          <w:trHeight w:val="6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b/>
                <w:bCs/>
                <w:color w:val="000000"/>
                <w:szCs w:val="22"/>
              </w:rPr>
              <w:t>IFQ Species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b/>
                <w:bCs/>
                <w:color w:val="000000"/>
                <w:szCs w:val="22"/>
              </w:rPr>
              <w:t>QS Control Limit (percent)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Arrowtooth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flounder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10.0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Bocaccio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rockfish South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13.2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Canary rockfish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4.4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Chilipepper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rockfish South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10.0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Cowcod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South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17.7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Darkblotched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rockfish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4.5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Dover sole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2.6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English sole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5.0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Lingcod North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2.5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Lingcod South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2.5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Longspine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thornyheads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North of 34°27'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6.0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Minor shelf rockfish North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5.0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Minor shelf rockfish South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9.0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Minor slope rockfish North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5.0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Minor slope rockfish South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6.0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Other flatfish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10.0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Pacific cod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12.0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Pacific halibut (IBQ) North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5.4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Pacific ocean perch North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4.0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Pacific whiting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10.0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Petrale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sole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3.0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Sablefish North of 36°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3.0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Sablefish South of 36°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10.0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Shortspine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thornyheads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North of 34°27'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6.0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Shortspine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thornyheads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South of 34°27'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6.0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Splitnose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rockfish South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10.0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Starry flounder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10.0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Widow rockfish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5.1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proofErr w:type="spellStart"/>
            <w:r w:rsidRPr="00CE6A43">
              <w:rPr>
                <w:rFonts w:eastAsia="Times New Roman" w:cs="Times New Roman"/>
                <w:color w:val="000000"/>
                <w:szCs w:val="22"/>
              </w:rPr>
              <w:t>Yelloweye</w:t>
            </w:r>
            <w:proofErr w:type="spellEnd"/>
            <w:r w:rsidRPr="00CE6A43">
              <w:rPr>
                <w:rFonts w:eastAsia="Times New Roman" w:cs="Times New Roman"/>
                <w:color w:val="000000"/>
                <w:szCs w:val="22"/>
              </w:rPr>
              <w:t xml:space="preserve"> rockfish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5.7</w:t>
            </w:r>
          </w:p>
        </w:tc>
      </w:tr>
      <w:tr w:rsidR="00CE6A43" w:rsidRPr="00CE6A43" w:rsidTr="00CE6A43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Yellowtail rockfish North of 40°10' 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color w:val="000000"/>
                <w:szCs w:val="22"/>
              </w:rPr>
              <w:t>5.0</w:t>
            </w:r>
          </w:p>
        </w:tc>
      </w:tr>
      <w:tr w:rsidR="00CE6A43" w:rsidRPr="00CE6A43" w:rsidTr="00CE6A43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b/>
                <w:bCs/>
                <w:color w:val="000000"/>
                <w:szCs w:val="22"/>
              </w:rPr>
              <w:t>Non-whiting groundfish QS control limit (excludes Pacific whiting and Pacific halibut)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43" w:rsidRPr="00CE6A43" w:rsidRDefault="00CE6A43" w:rsidP="00CE6A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CE6A43">
              <w:rPr>
                <w:rFonts w:eastAsia="Times New Roman" w:cs="Times New Roman"/>
                <w:b/>
                <w:bCs/>
                <w:color w:val="000000"/>
                <w:szCs w:val="22"/>
              </w:rPr>
              <w:t>2.7</w:t>
            </w:r>
          </w:p>
        </w:tc>
      </w:tr>
    </w:tbl>
    <w:p w:rsidR="00CE6A43" w:rsidRDefault="00CE6A43" w:rsidP="00FA3041">
      <w:bookmarkStart w:id="6" w:name="_GoBack"/>
      <w:bookmarkEnd w:id="6"/>
    </w:p>
    <w:sectPr w:rsidR="00CE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41"/>
    <w:multiLevelType w:val="hybridMultilevel"/>
    <w:tmpl w:val="7408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1868"/>
    <w:multiLevelType w:val="hybridMultilevel"/>
    <w:tmpl w:val="211C7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6D60"/>
    <w:multiLevelType w:val="multilevel"/>
    <w:tmpl w:val="889A1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09140BC"/>
    <w:multiLevelType w:val="hybridMultilevel"/>
    <w:tmpl w:val="72CC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1C89"/>
    <w:multiLevelType w:val="hybridMultilevel"/>
    <w:tmpl w:val="DF80C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4"/>
    <w:rsid w:val="000441DF"/>
    <w:rsid w:val="0004551F"/>
    <w:rsid w:val="00064AF4"/>
    <w:rsid w:val="0009261F"/>
    <w:rsid w:val="000E3C2D"/>
    <w:rsid w:val="00113897"/>
    <w:rsid w:val="00141B83"/>
    <w:rsid w:val="00184557"/>
    <w:rsid w:val="001F6812"/>
    <w:rsid w:val="00236DE2"/>
    <w:rsid w:val="00252858"/>
    <w:rsid w:val="00287250"/>
    <w:rsid w:val="002975BF"/>
    <w:rsid w:val="002A40A6"/>
    <w:rsid w:val="00311FF2"/>
    <w:rsid w:val="003447C3"/>
    <w:rsid w:val="0035566A"/>
    <w:rsid w:val="0036250D"/>
    <w:rsid w:val="00393198"/>
    <w:rsid w:val="003D7CA8"/>
    <w:rsid w:val="003D7F19"/>
    <w:rsid w:val="003F5D41"/>
    <w:rsid w:val="0041355F"/>
    <w:rsid w:val="00422022"/>
    <w:rsid w:val="0042586C"/>
    <w:rsid w:val="004332ED"/>
    <w:rsid w:val="00454E28"/>
    <w:rsid w:val="00493DE3"/>
    <w:rsid w:val="004A7769"/>
    <w:rsid w:val="005A16FE"/>
    <w:rsid w:val="005B2F2E"/>
    <w:rsid w:val="00603769"/>
    <w:rsid w:val="00713018"/>
    <w:rsid w:val="00730752"/>
    <w:rsid w:val="00744066"/>
    <w:rsid w:val="0078769C"/>
    <w:rsid w:val="00842E24"/>
    <w:rsid w:val="008535A3"/>
    <w:rsid w:val="00861F43"/>
    <w:rsid w:val="00874DD2"/>
    <w:rsid w:val="00885074"/>
    <w:rsid w:val="008B4B37"/>
    <w:rsid w:val="00913925"/>
    <w:rsid w:val="00926C64"/>
    <w:rsid w:val="009C31B6"/>
    <w:rsid w:val="009C7184"/>
    <w:rsid w:val="009F7F2D"/>
    <w:rsid w:val="00A17BD4"/>
    <w:rsid w:val="00AB4D60"/>
    <w:rsid w:val="00AC0CEE"/>
    <w:rsid w:val="00AE7B71"/>
    <w:rsid w:val="00B236E4"/>
    <w:rsid w:val="00B34658"/>
    <w:rsid w:val="00C16DF9"/>
    <w:rsid w:val="00C849D6"/>
    <w:rsid w:val="00CE2210"/>
    <w:rsid w:val="00CE6A43"/>
    <w:rsid w:val="00D07EF1"/>
    <w:rsid w:val="00D16D46"/>
    <w:rsid w:val="00D346FC"/>
    <w:rsid w:val="00D474C5"/>
    <w:rsid w:val="00DA4C39"/>
    <w:rsid w:val="00DF3EE0"/>
    <w:rsid w:val="00E1752E"/>
    <w:rsid w:val="00E6004D"/>
    <w:rsid w:val="00EE15AE"/>
    <w:rsid w:val="00F15E3A"/>
    <w:rsid w:val="00FA304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84"/>
    <w:rPr>
      <w:rFonts w:ascii="Calibri" w:eastAsia="Calibri" w:hAnsi="Calibri" w:cs="Tahoma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84"/>
    <w:pPr>
      <w:keepNext/>
      <w:keepLines/>
      <w:spacing w:before="12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1sdm">
    <w:name w:val="H1 sdm"/>
    <w:basedOn w:val="Normal"/>
    <w:qFormat/>
    <w:rsid w:val="009C7184"/>
    <w:pPr>
      <w:shd w:val="clear" w:color="auto" w:fill="1F497D"/>
      <w:spacing w:after="240" w:line="240" w:lineRule="auto"/>
    </w:pPr>
    <w:rPr>
      <w:b/>
      <w:smallCaps/>
      <w:shadow/>
      <w:color w:val="FFFFFF"/>
      <w:sz w:val="36"/>
    </w:rPr>
  </w:style>
  <w:style w:type="paragraph" w:styleId="ListParagraph">
    <w:name w:val="List Paragraph"/>
    <w:basedOn w:val="Normal"/>
    <w:uiPriority w:val="34"/>
    <w:qFormat/>
    <w:rsid w:val="002975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C0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CEE"/>
    <w:rPr>
      <w:rFonts w:ascii="Calibri" w:eastAsia="Calibri" w:hAnsi="Calibri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EE"/>
    <w:rPr>
      <w:rFonts w:ascii="Calibri" w:eastAsia="Calibri" w:hAnsi="Calibri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EE"/>
    <w:rPr>
      <w:rFonts w:ascii="Tahoma" w:eastAsia="Calibri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36DE2"/>
    <w:pPr>
      <w:ind w:left="720"/>
      <w:contextualSpacing/>
    </w:pPr>
  </w:style>
  <w:style w:type="character" w:customStyle="1" w:styleId="StyleLatinGeorgia10ptBold">
    <w:name w:val="Style (Latin) Georgia 10 pt Bold"/>
    <w:rsid w:val="00236DE2"/>
    <w:rPr>
      <w:rFonts w:ascii="Calibri" w:hAnsi="Calibri"/>
      <w:b/>
      <w:bCs/>
      <w:sz w:val="22"/>
    </w:rPr>
  </w:style>
  <w:style w:type="character" w:customStyle="1" w:styleId="StyleLatinGeorgia10pt">
    <w:name w:val="Style (Latin) Georgia 10 pt"/>
    <w:rsid w:val="00236DE2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84"/>
    <w:rPr>
      <w:rFonts w:ascii="Calibri" w:eastAsia="Calibri" w:hAnsi="Calibri" w:cs="Tahoma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84"/>
    <w:pPr>
      <w:keepNext/>
      <w:keepLines/>
      <w:spacing w:before="12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1sdm">
    <w:name w:val="H1 sdm"/>
    <w:basedOn w:val="Normal"/>
    <w:qFormat/>
    <w:rsid w:val="009C7184"/>
    <w:pPr>
      <w:shd w:val="clear" w:color="auto" w:fill="1F497D"/>
      <w:spacing w:after="240" w:line="240" w:lineRule="auto"/>
    </w:pPr>
    <w:rPr>
      <w:b/>
      <w:smallCaps/>
      <w:shadow/>
      <w:color w:val="FFFFFF"/>
      <w:sz w:val="36"/>
    </w:rPr>
  </w:style>
  <w:style w:type="paragraph" w:styleId="ListParagraph">
    <w:name w:val="List Paragraph"/>
    <w:basedOn w:val="Normal"/>
    <w:uiPriority w:val="34"/>
    <w:qFormat/>
    <w:rsid w:val="002975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C0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CEE"/>
    <w:rPr>
      <w:rFonts w:ascii="Calibri" w:eastAsia="Calibri" w:hAnsi="Calibri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EE"/>
    <w:rPr>
      <w:rFonts w:ascii="Calibri" w:eastAsia="Calibri" w:hAnsi="Calibri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EE"/>
    <w:rPr>
      <w:rFonts w:ascii="Tahoma" w:eastAsia="Calibri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36DE2"/>
    <w:pPr>
      <w:ind w:left="720"/>
      <w:contextualSpacing/>
    </w:pPr>
  </w:style>
  <w:style w:type="character" w:customStyle="1" w:styleId="StyleLatinGeorgia10ptBold">
    <w:name w:val="Style (Latin) Georgia 10 pt Bold"/>
    <w:rsid w:val="00236DE2"/>
    <w:rPr>
      <w:rFonts w:ascii="Calibri" w:hAnsi="Calibri"/>
      <w:b/>
      <w:bCs/>
      <w:sz w:val="22"/>
    </w:rPr>
  </w:style>
  <w:style w:type="character" w:customStyle="1" w:styleId="StyleLatinGeorgia10pt">
    <w:name w:val="Style (Latin) Georgia 10 pt"/>
    <w:rsid w:val="00236DE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6DD9-A465-4AB9-8123-A745F344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Cowen, Jeff</dc:creator>
  <cp:lastModifiedBy>Natalie.Allen</cp:lastModifiedBy>
  <cp:revision>7</cp:revision>
  <dcterms:created xsi:type="dcterms:W3CDTF">2013-08-08T20:13:00Z</dcterms:created>
  <dcterms:modified xsi:type="dcterms:W3CDTF">2014-05-21T16:40:00Z</dcterms:modified>
</cp:coreProperties>
</file>